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bookmarkStart w:id="0" w:name="_GoBack"/>
      <w:bookmarkEnd w:id="0"/>
      <w:r w:rsidRPr="00C74C40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MAŽEIKIŲ RAJONO SAVIVALDYBĖS </w:t>
      </w: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lt-LT"/>
        </w:rPr>
      </w:pPr>
      <w:r w:rsidRPr="00C74C40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VISUOMENĖS SVEIKATOS BIURAS</w:t>
      </w:r>
    </w:p>
    <w:tbl>
      <w:tblPr>
        <w:tblW w:w="10260" w:type="dxa"/>
        <w:tblInd w:w="-43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D85F54" w:rsidRPr="00DD21DC" w:rsidTr="007055C3">
        <w:tc>
          <w:tcPr>
            <w:tcW w:w="10260" w:type="dxa"/>
          </w:tcPr>
          <w:p w:rsidR="00D85F54" w:rsidRPr="00CC3320" w:rsidRDefault="00D85F54" w:rsidP="007055C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320">
              <w:rPr>
                <w:rFonts w:ascii="Times New Roman" w:eastAsia="Times New Roman" w:hAnsi="Times New Roman"/>
                <w:sz w:val="20"/>
                <w:szCs w:val="20"/>
              </w:rPr>
              <w:t xml:space="preserve">Biudžetinė įstaiga, </w:t>
            </w:r>
            <w:r w:rsidRPr="00CC3320">
              <w:rPr>
                <w:rFonts w:ascii="Times New Roman" w:hAnsi="Times New Roman"/>
                <w:sz w:val="20"/>
                <w:szCs w:val="20"/>
              </w:rPr>
              <w:t>Naftininkų g. 9, 89239 Mažeikiai.</w:t>
            </w:r>
            <w:r w:rsidRPr="00CC3320">
              <w:rPr>
                <w:rFonts w:ascii="Times New Roman" w:hAnsi="Times New Roman"/>
                <w:sz w:val="20"/>
                <w:szCs w:val="20"/>
              </w:rPr>
              <w:br/>
              <w:t>el.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320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hyperlink r:id="rId7" w:history="1">
              <w:r w:rsidRPr="00CC3320">
                <w:rPr>
                  <w:rFonts w:ascii="Times New Roman" w:hAnsi="Times New Roman"/>
                  <w:sz w:val="20"/>
                  <w:szCs w:val="20"/>
                </w:rPr>
                <w:t>mazeikiuvsb@gmail.com</w:t>
              </w:r>
            </w:hyperlink>
            <w:r w:rsidRPr="00CC3320">
              <w:rPr>
                <w:rFonts w:ascii="Times New Roman" w:hAnsi="Times New Roman"/>
                <w:sz w:val="20"/>
                <w:szCs w:val="20"/>
              </w:rPr>
              <w:t>, http://www.mazeikiuvsb.istaiga.lt</w:t>
            </w:r>
          </w:p>
        </w:tc>
      </w:tr>
      <w:tr w:rsidR="00D85F54" w:rsidRPr="00DD21DC" w:rsidTr="007055C3">
        <w:tc>
          <w:tcPr>
            <w:tcW w:w="10260" w:type="dxa"/>
          </w:tcPr>
          <w:p w:rsidR="00D85F54" w:rsidRPr="00CC3320" w:rsidRDefault="00D85F54" w:rsidP="007055C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320">
              <w:rPr>
                <w:rFonts w:ascii="Times New Roman" w:eastAsia="Times New Roman" w:hAnsi="Times New Roman"/>
                <w:sz w:val="20"/>
                <w:szCs w:val="20"/>
              </w:rPr>
              <w:t xml:space="preserve">Duomenys kaupiami ir saugomi Juridinių asmenų registre, kodas </w:t>
            </w:r>
            <w:r w:rsidRPr="00CC3320">
              <w:rPr>
                <w:rFonts w:ascii="Times New Roman" w:hAnsi="Times New Roman"/>
                <w:sz w:val="20"/>
                <w:szCs w:val="20"/>
              </w:rPr>
              <w:t>303189089</w:t>
            </w:r>
          </w:p>
        </w:tc>
      </w:tr>
    </w:tbl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Default="00D85F54" w:rsidP="00D85F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METŲ II KETVIRČIO</w:t>
      </w:r>
      <w:r w:rsidRPr="00C74C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MAŽEIKIŲ RAJONO SAVIVALDYBĖS IKIMOKYKLINIO UGDYMO ĮSTAIGŲ VAIKŲ </w:t>
      </w:r>
    </w:p>
    <w:p w:rsidR="00D85F54" w:rsidRPr="00C74C40" w:rsidRDefault="00D85F54" w:rsidP="00D85F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40">
        <w:rPr>
          <w:rFonts w:ascii="Times New Roman" w:hAnsi="Times New Roman"/>
          <w:b/>
          <w:sz w:val="28"/>
          <w:szCs w:val="28"/>
        </w:rPr>
        <w:t>SERGAMUMO ATASKAITA</w:t>
      </w: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Pr="00C74C40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5F54" w:rsidRDefault="00D85F54" w:rsidP="00D85F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D85F54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D85F54" w:rsidRPr="00E1666C" w:rsidRDefault="00D85F54" w:rsidP="00D85F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/>
          <w:sz w:val="28"/>
          <w:szCs w:val="28"/>
          <w:lang w:eastAsia="lt-LT"/>
        </w:rPr>
        <w:t>Mažeikiai, 2016</w:t>
      </w:r>
    </w:p>
    <w:p w:rsidR="00D85F54" w:rsidRPr="000C7591" w:rsidRDefault="00D85F54" w:rsidP="00D85F54">
      <w:pPr>
        <w:pBdr>
          <w:bottom w:val="single" w:sz="12" w:space="1" w:color="auto"/>
        </w:pBdr>
        <w:tabs>
          <w:tab w:val="right" w:pos="9638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PRATARMĖ</w:t>
      </w:r>
    </w:p>
    <w:p w:rsidR="00D85F54" w:rsidRDefault="00D85F54" w:rsidP="00D85F5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F54" w:rsidRDefault="00D85F54" w:rsidP="00D85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Mažeikių rajono savivaldybės visuomenės sveikatos biuro v</w:t>
      </w:r>
      <w:r w:rsidRPr="00C507A9">
        <w:rPr>
          <w:rFonts w:ascii="Times New Roman" w:hAnsi="Times New Roman"/>
          <w:sz w:val="24"/>
          <w:szCs w:val="24"/>
        </w:rPr>
        <w:t xml:space="preserve">ykdoma </w:t>
      </w:r>
      <w:r>
        <w:rPr>
          <w:rFonts w:ascii="Times New Roman" w:hAnsi="Times New Roman"/>
          <w:sz w:val="24"/>
          <w:szCs w:val="24"/>
        </w:rPr>
        <w:t xml:space="preserve">ikimokyklinio ugdymo įstaigų vaikų visuomenės sveikatos stebėsenos </w:t>
      </w:r>
      <w:r w:rsidRPr="00C507A9">
        <w:rPr>
          <w:rFonts w:ascii="Times New Roman" w:hAnsi="Times New Roman"/>
          <w:sz w:val="24"/>
          <w:szCs w:val="24"/>
        </w:rPr>
        <w:t xml:space="preserve">veikla yra labai svarbi prižiūrint </w:t>
      </w:r>
      <w:r>
        <w:rPr>
          <w:rFonts w:ascii="Times New Roman" w:hAnsi="Times New Roman"/>
          <w:sz w:val="24"/>
          <w:szCs w:val="24"/>
        </w:rPr>
        <w:t>vaikų, lankančių ikimokyklinio ugdymo įstaigas,</w:t>
      </w:r>
      <w:r w:rsidRPr="00C507A9">
        <w:rPr>
          <w:rFonts w:ascii="Times New Roman" w:hAnsi="Times New Roman"/>
          <w:sz w:val="24"/>
          <w:szCs w:val="24"/>
        </w:rPr>
        <w:t xml:space="preserve"> sveikatą</w:t>
      </w:r>
      <w:r>
        <w:rPr>
          <w:rFonts w:ascii="Times New Roman" w:hAnsi="Times New Roman"/>
          <w:sz w:val="24"/>
          <w:szCs w:val="24"/>
        </w:rPr>
        <w:t>. Ši vaikų sergamumo analizė padės atskleisti ir įvertinti vaikų sveikatos būklę pagal sezoniškumą, o ikimokyklinio</w:t>
      </w:r>
      <w:r w:rsidRPr="00941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ugdymo </w:t>
      </w:r>
      <w:r w:rsidRPr="00941F91">
        <w:rPr>
          <w:rFonts w:ascii="Times New Roman" w:hAnsi="Times New Roman"/>
          <w:sz w:val="24"/>
          <w:szCs w:val="24"/>
        </w:rPr>
        <w:t>įstaigų visuomenės sve</w:t>
      </w:r>
      <w:r>
        <w:rPr>
          <w:rFonts w:ascii="Times New Roman" w:hAnsi="Times New Roman"/>
          <w:sz w:val="24"/>
          <w:szCs w:val="24"/>
        </w:rPr>
        <w:t xml:space="preserve">ikatos priežiūros specialistams - </w:t>
      </w:r>
      <w:r w:rsidRPr="00941F91">
        <w:rPr>
          <w:rFonts w:ascii="Times New Roman" w:hAnsi="Times New Roman"/>
          <w:sz w:val="24"/>
          <w:szCs w:val="24"/>
        </w:rPr>
        <w:t>kryptingai planuoti ir įgyvendinti sveikatos priežiūrą įstaigoje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1F91">
        <w:rPr>
          <w:rFonts w:ascii="Times New Roman" w:hAnsi="Times New Roman"/>
          <w:sz w:val="24"/>
          <w:szCs w:val="24"/>
        </w:rPr>
        <w:t xml:space="preserve">taip padedant vaikams saugoti ir stiprinti sveikatą. Įstaigų administracijos darbuotojams informacija apie vaikų </w:t>
      </w:r>
      <w:r>
        <w:rPr>
          <w:rFonts w:ascii="Times New Roman" w:hAnsi="Times New Roman"/>
          <w:sz w:val="24"/>
          <w:szCs w:val="24"/>
        </w:rPr>
        <w:t>sergamumą</w:t>
      </w:r>
      <w:r w:rsidRPr="00941F91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arodys</w:t>
      </w:r>
      <w:r w:rsidRPr="00941F91">
        <w:rPr>
          <w:rFonts w:ascii="Times New Roman" w:hAnsi="Times New Roman"/>
          <w:sz w:val="24"/>
          <w:szCs w:val="24"/>
        </w:rPr>
        <w:t xml:space="preserve">, kokios vaikų sveikatos problemos vyrauja jų įstaigoje, o tai gali tapti svariu motyvu </w:t>
      </w:r>
      <w:r>
        <w:rPr>
          <w:rFonts w:ascii="Times New Roman" w:hAnsi="Times New Roman"/>
          <w:sz w:val="24"/>
          <w:szCs w:val="24"/>
        </w:rPr>
        <w:t xml:space="preserve">aktyviau spręsti esamas ir pagal poreikį </w:t>
      </w:r>
      <w:r w:rsidRPr="00941F91">
        <w:rPr>
          <w:rFonts w:ascii="Times New Roman" w:hAnsi="Times New Roman"/>
          <w:sz w:val="24"/>
          <w:szCs w:val="24"/>
        </w:rPr>
        <w:t xml:space="preserve">inicijuoti </w:t>
      </w:r>
      <w:r>
        <w:rPr>
          <w:rFonts w:ascii="Times New Roman" w:hAnsi="Times New Roman"/>
          <w:sz w:val="24"/>
          <w:szCs w:val="24"/>
        </w:rPr>
        <w:t xml:space="preserve">naujų </w:t>
      </w:r>
      <w:r w:rsidRPr="00941F91">
        <w:rPr>
          <w:rFonts w:ascii="Times New Roman" w:hAnsi="Times New Roman"/>
          <w:sz w:val="24"/>
          <w:szCs w:val="24"/>
        </w:rPr>
        <w:t>sveikatos stiprinimo priemonių įgyvendinimą jų ugdymo įstaigoje.</w:t>
      </w:r>
    </w:p>
    <w:p w:rsidR="00D85F54" w:rsidRDefault="00D85F54" w:rsidP="00D85F54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Mažeikių rajono savivaldybės ikimokyklinių įstaigų vaikų sergamumo</w:t>
      </w:r>
      <w:r w:rsidRPr="009E2C0B">
        <w:rPr>
          <w:rFonts w:ascii="Times New Roman" w:hAnsi="Times New Roman"/>
          <w:sz w:val="24"/>
          <w:szCs w:val="24"/>
        </w:rPr>
        <w:t xml:space="preserve"> duomenys bus kas </w:t>
      </w:r>
      <w:r>
        <w:rPr>
          <w:rFonts w:ascii="Times New Roman" w:hAnsi="Times New Roman"/>
          <w:sz w:val="24"/>
          <w:szCs w:val="24"/>
        </w:rPr>
        <w:t>mėnesį</w:t>
      </w:r>
      <w:r w:rsidRPr="009E2C0B">
        <w:rPr>
          <w:rFonts w:ascii="Times New Roman" w:hAnsi="Times New Roman"/>
          <w:sz w:val="24"/>
          <w:szCs w:val="24"/>
        </w:rPr>
        <w:t xml:space="preserve"> analizuojami, vertinami, lyginami, bus stebima jų kitimo tendencija, o gauti rezultatai</w:t>
      </w:r>
      <w:r>
        <w:rPr>
          <w:rFonts w:ascii="Times New Roman" w:hAnsi="Times New Roman"/>
          <w:sz w:val="24"/>
          <w:szCs w:val="24"/>
        </w:rPr>
        <w:t xml:space="preserve"> kas ketvirtį</w:t>
      </w:r>
      <w:r w:rsidRPr="009E2C0B">
        <w:rPr>
          <w:rFonts w:ascii="Times New Roman" w:hAnsi="Times New Roman"/>
          <w:sz w:val="24"/>
          <w:szCs w:val="24"/>
        </w:rPr>
        <w:t xml:space="preserve"> pateikiami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422">
        <w:rPr>
          <w:rFonts w:ascii="Times New Roman" w:hAnsi="Times New Roman"/>
          <w:sz w:val="24"/>
          <w:szCs w:val="24"/>
        </w:rPr>
        <w:t>Mažeikių rajo</w:t>
      </w:r>
      <w:r>
        <w:rPr>
          <w:rFonts w:ascii="Times New Roman" w:hAnsi="Times New Roman"/>
          <w:sz w:val="24"/>
          <w:szCs w:val="24"/>
        </w:rPr>
        <w:t xml:space="preserve">no savivaldybės administracijos aplinkos </w:t>
      </w:r>
      <w:r w:rsidRPr="005F7422">
        <w:rPr>
          <w:rFonts w:ascii="Times New Roman" w:hAnsi="Times New Roman"/>
          <w:sz w:val="24"/>
          <w:szCs w:val="24"/>
        </w:rPr>
        <w:t>apsaugos, asmens ir visuomenės sve</w:t>
      </w:r>
      <w:r>
        <w:rPr>
          <w:rFonts w:ascii="Times New Roman" w:hAnsi="Times New Roman"/>
          <w:sz w:val="24"/>
          <w:szCs w:val="24"/>
        </w:rPr>
        <w:t xml:space="preserve">ikatos skyriaus vyr. specialistei, </w:t>
      </w:r>
      <w:r w:rsidRPr="009E2C0B">
        <w:rPr>
          <w:rFonts w:ascii="Times New Roman" w:hAnsi="Times New Roman"/>
          <w:sz w:val="24"/>
          <w:szCs w:val="24"/>
        </w:rPr>
        <w:t>bendruomenei bei kitoms suinteresuotoms institucijoms</w:t>
      </w:r>
      <w:r>
        <w:rPr>
          <w:rFonts w:ascii="Times New Roman" w:hAnsi="Times New Roman"/>
          <w:sz w:val="24"/>
          <w:szCs w:val="24"/>
        </w:rPr>
        <w:t>, skelbiami</w:t>
      </w:r>
      <w:r w:rsidRPr="009E2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Mažeikių rajono savivaldybės visuomenės sveikatos biuro tinklapyje.</w:t>
      </w:r>
      <w:r w:rsidRPr="008838EE">
        <w:rPr>
          <w:rFonts w:ascii="Times New Roman" w:hAnsi="Times New Roman"/>
          <w:sz w:val="24"/>
          <w:szCs w:val="24"/>
        </w:rPr>
        <w:t xml:space="preserve"> </w:t>
      </w:r>
    </w:p>
    <w:p w:rsidR="00A62A02" w:rsidRDefault="00A62A02" w:rsidP="00A62A02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Mažeikių rajono savivaldybėje per antrąjį metų ketvirtį vaikai pilnai lank</w:t>
      </w:r>
      <w:r w:rsidR="007A7A85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 bendrojo ugdymo įstaigas tik du mėnesius, todėl už antrą ketvirtį sergamumo duomenys pateikiami tik balandžio-gegužės mėnesį.</w:t>
      </w:r>
    </w:p>
    <w:p w:rsidR="00A62A02" w:rsidRPr="009E2C0B" w:rsidRDefault="00A62A02" w:rsidP="00D85F54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F54" w:rsidRPr="009E2C0B" w:rsidRDefault="00D85F54" w:rsidP="00D85F54">
      <w:pPr>
        <w:pStyle w:val="Betarp"/>
        <w:rPr>
          <w:rFonts w:ascii="Times New Roman" w:hAnsi="Times New Roman"/>
          <w:sz w:val="24"/>
          <w:szCs w:val="24"/>
        </w:rPr>
      </w:pPr>
    </w:p>
    <w:p w:rsidR="00A03F4C" w:rsidRDefault="00A03F4C"/>
    <w:p w:rsidR="00D85F54" w:rsidRDefault="00D85F54"/>
    <w:p w:rsidR="00D85F54" w:rsidRDefault="00D85F54"/>
    <w:p w:rsidR="00D85F54" w:rsidRDefault="00D85F54"/>
    <w:p w:rsidR="00D85F54" w:rsidRDefault="00D85F54"/>
    <w:p w:rsidR="00D85F54" w:rsidRDefault="00D85F54"/>
    <w:p w:rsidR="00D85F54" w:rsidRDefault="00D85F54"/>
    <w:p w:rsidR="00D85F54" w:rsidRDefault="00D85F54"/>
    <w:p w:rsidR="00D85F54" w:rsidRDefault="00D85F54"/>
    <w:p w:rsidR="00D85F54" w:rsidRDefault="00D85F54"/>
    <w:p w:rsidR="00102A97" w:rsidRDefault="00102A97"/>
    <w:p w:rsidR="00A041C7" w:rsidRPr="00A041C7" w:rsidRDefault="00A041C7" w:rsidP="00A041C7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F54" w:rsidRPr="00CB76C2" w:rsidRDefault="00D85F54" w:rsidP="00D85F54">
      <w:pPr>
        <w:pStyle w:val="Betarp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Balandžio mėn.</w:t>
      </w:r>
    </w:p>
    <w:p w:rsidR="00D85F54" w:rsidRPr="00C128F3" w:rsidRDefault="00D85F54" w:rsidP="00D85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Balandžio mėn. užregistruoti 1 186</w:t>
      </w:r>
      <w:r w:rsidRPr="00DC709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usirgimai (7 850 dėl ligos praleistų dienų). </w:t>
      </w:r>
      <w:r>
        <w:rPr>
          <w:rFonts w:ascii="Times New Roman" w:hAnsi="Times New Roman"/>
          <w:sz w:val="24"/>
          <w:szCs w:val="24"/>
        </w:rPr>
        <w:t>V</w:t>
      </w:r>
      <w:r w:rsidRPr="00F77750">
        <w:rPr>
          <w:rFonts w:ascii="Times New Roman" w:hAnsi="Times New Roman"/>
          <w:sz w:val="24"/>
          <w:szCs w:val="24"/>
        </w:rPr>
        <w:t>idutiniškai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susirgimų</w:t>
      </w:r>
      <w:r w:rsidRPr="00774362">
        <w:rPr>
          <w:rFonts w:ascii="Times New Roman" w:hAnsi="Times New Roman"/>
          <w:sz w:val="24"/>
          <w:szCs w:val="24"/>
        </w:rPr>
        <w:t xml:space="preserve"> atvejų skaičius, tenkantis 1</w:t>
      </w:r>
      <w:r w:rsidR="007A7A85">
        <w:rPr>
          <w:rFonts w:ascii="Times New Roman" w:hAnsi="Times New Roman"/>
          <w:sz w:val="24"/>
          <w:szCs w:val="24"/>
        </w:rPr>
        <w:t>0 vaikų, sudarė 5 atvejus</w:t>
      </w:r>
      <w:r>
        <w:rPr>
          <w:rFonts w:ascii="Times New Roman" w:hAnsi="Times New Roman"/>
          <w:sz w:val="24"/>
          <w:szCs w:val="24"/>
        </w:rPr>
        <w:t xml:space="preserve"> (34</w:t>
      </w:r>
      <w:r w:rsidRPr="00C72F46">
        <w:rPr>
          <w:rFonts w:ascii="Times New Roman" w:hAnsi="Times New Roman"/>
          <w:sz w:val="24"/>
          <w:szCs w:val="24"/>
        </w:rPr>
        <w:t xml:space="preserve"> dėl </w:t>
      </w:r>
      <w:r>
        <w:rPr>
          <w:rFonts w:ascii="Times New Roman" w:hAnsi="Times New Roman"/>
          <w:sz w:val="24"/>
          <w:szCs w:val="24"/>
        </w:rPr>
        <w:t>ligos praleistos dienos)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(1 lentelė).</w:t>
      </w:r>
    </w:p>
    <w:p w:rsidR="00D85F54" w:rsidRPr="00011EAD" w:rsidRDefault="00D85F54" w:rsidP="00D85F54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1</w:t>
      </w:r>
      <w:r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lentelė. </w:t>
      </w:r>
      <w:r>
        <w:rPr>
          <w:rFonts w:ascii="Times New Roman" w:hAnsi="Times New Roman"/>
          <w:b/>
          <w:sz w:val="24"/>
          <w:szCs w:val="24"/>
          <w:lang w:eastAsia="lt-LT"/>
        </w:rPr>
        <w:t>2016 m. balandžio</w:t>
      </w:r>
      <w:r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mėn.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praleistų dienų ir susirgimų atvejų skaičius</w:t>
      </w:r>
      <w:r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pagal įstaigas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389"/>
        <w:gridCol w:w="1163"/>
        <w:gridCol w:w="1270"/>
        <w:gridCol w:w="1334"/>
      </w:tblGrid>
      <w:tr w:rsidR="00D85F54" w:rsidRPr="00DD21DC" w:rsidTr="007055C3">
        <w:trPr>
          <w:trHeight w:val="841"/>
        </w:trPr>
        <w:tc>
          <w:tcPr>
            <w:tcW w:w="3397" w:type="dxa"/>
            <w:shd w:val="clear" w:color="auto" w:fill="auto"/>
            <w:vAlign w:val="center"/>
          </w:tcPr>
          <w:p w:rsidR="00D85F54" w:rsidRPr="00E052E1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5F54" w:rsidRPr="00E052E1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Įstaigos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85F54" w:rsidRPr="00E052E1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Praleistų dienų skaičius</w:t>
            </w:r>
          </w:p>
          <w:p w:rsidR="00D85F54" w:rsidRPr="00E052E1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(dėl ligos)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85F54" w:rsidRPr="00E052E1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Praleistų dienų skaičius, tenkantis 10 vaikų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85F54" w:rsidRPr="00E052E1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Susirgimų atvejų skaičius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85F54" w:rsidRPr="00E052E1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Susirgimų atvejų skaičius, tenkantis 10 vaikų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„Žilvitis“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„Buratinas“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„Gintarėlis“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„Berželis“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„Eglutė“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1 126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„Delfinas“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„Linelis“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„Saulutė“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„Bitutė“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„Pasaka“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Viekšnių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„Liepaitė“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Sedos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Tirkšlių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„Giliukas“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"Kregždutė" darželis - mokykla</w:t>
            </w:r>
          </w:p>
        </w:tc>
        <w:tc>
          <w:tcPr>
            <w:tcW w:w="1389" w:type="dxa"/>
            <w:shd w:val="clear" w:color="auto" w:fill="auto"/>
          </w:tcPr>
          <w:p w:rsidR="00D85F54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163" w:type="dxa"/>
            <w:shd w:val="clear" w:color="auto" w:fill="auto"/>
          </w:tcPr>
          <w:p w:rsidR="00D85F54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0" w:type="dxa"/>
            <w:shd w:val="clear" w:color="auto" w:fill="auto"/>
          </w:tcPr>
          <w:p w:rsidR="00D85F54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4" w:type="dxa"/>
            <w:shd w:val="clear" w:color="auto" w:fill="auto"/>
          </w:tcPr>
          <w:p w:rsidR="00D85F54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7176F" w:rsidRDefault="00D85F54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VĮ 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Mažeikių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nevalstybinis Valdorfo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„Namučiai po smilga“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5F54" w:rsidRPr="00DD21DC" w:rsidTr="007055C3">
        <w:tc>
          <w:tcPr>
            <w:tcW w:w="3397" w:type="dxa"/>
            <w:shd w:val="clear" w:color="auto" w:fill="auto"/>
          </w:tcPr>
          <w:p w:rsidR="00D85F54" w:rsidRPr="00DD21DC" w:rsidRDefault="00D85F54" w:rsidP="007055C3">
            <w:pPr>
              <w:pStyle w:val="Betarp"/>
              <w:jc w:val="righ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D21D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Viso</w:t>
            </w:r>
          </w:p>
        </w:tc>
        <w:tc>
          <w:tcPr>
            <w:tcW w:w="1389" w:type="dxa"/>
            <w:shd w:val="clear" w:color="auto" w:fill="auto"/>
          </w:tcPr>
          <w:p w:rsidR="00D85F54" w:rsidRPr="00DD21DC" w:rsidRDefault="00D85F54" w:rsidP="007055C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7 850</w:t>
            </w:r>
          </w:p>
        </w:tc>
        <w:tc>
          <w:tcPr>
            <w:tcW w:w="1163" w:type="dxa"/>
            <w:shd w:val="clear" w:color="auto" w:fill="auto"/>
          </w:tcPr>
          <w:p w:rsidR="00D85F54" w:rsidRPr="00DD21DC" w:rsidRDefault="00D85F54" w:rsidP="007055C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0" w:type="dxa"/>
            <w:shd w:val="clear" w:color="auto" w:fill="auto"/>
          </w:tcPr>
          <w:p w:rsidR="00D85F54" w:rsidRPr="00DD21DC" w:rsidRDefault="00D85F54" w:rsidP="007055C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1 186</w:t>
            </w:r>
          </w:p>
        </w:tc>
        <w:tc>
          <w:tcPr>
            <w:tcW w:w="1334" w:type="dxa"/>
            <w:shd w:val="clear" w:color="auto" w:fill="auto"/>
          </w:tcPr>
          <w:p w:rsidR="00D85F54" w:rsidRPr="00DD21DC" w:rsidRDefault="00D85F54" w:rsidP="007055C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85F54" w:rsidRDefault="00D85F54" w:rsidP="00D85F5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85F54" w:rsidRDefault="00D85F54" w:rsidP="00D8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Susirgimų atvejų skaičius, tenkantis 10 vaikų, svyravo nuo 0,4 iki 8 atvejų. </w:t>
      </w:r>
    </w:p>
    <w:p w:rsidR="00D85F54" w:rsidRDefault="00D85F54" w:rsidP="004F2E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348D52B" wp14:editId="0605D656">
            <wp:extent cx="5638800" cy="25146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5F54" w:rsidRPr="00D7176F" w:rsidRDefault="00D85F54" w:rsidP="00D85F54">
      <w:pPr>
        <w:pStyle w:val="Betarp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pav. Balandžio mėn. vaikų susirgimų</w:t>
      </w: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atvejų skaičius, tenkantis 1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0 vaikų</w:t>
      </w: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</w:t>
      </w:r>
    </w:p>
    <w:p w:rsidR="00D85F54" w:rsidRPr="00E46877" w:rsidRDefault="00D85F54" w:rsidP="00D85F54">
      <w:pPr>
        <w:pStyle w:val="Betarp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pagal ikimokyklinio ugdymo įstaigas</w:t>
      </w:r>
    </w:p>
    <w:p w:rsidR="00D85F54" w:rsidRDefault="007A7A85" w:rsidP="004F2E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Lyginant pagal</w:t>
      </w:r>
      <w:r w:rsidR="00D85F54">
        <w:rPr>
          <w:rFonts w:ascii="Times New Roman" w:hAnsi="Times New Roman"/>
          <w:sz w:val="24"/>
          <w:szCs w:val="24"/>
        </w:rPr>
        <w:t xml:space="preserve"> ikimokyklinio u</w:t>
      </w:r>
      <w:r>
        <w:rPr>
          <w:rFonts w:ascii="Times New Roman" w:hAnsi="Times New Roman"/>
          <w:sz w:val="24"/>
          <w:szCs w:val="24"/>
        </w:rPr>
        <w:t>gdymo įstaigų susirgimų vidurkį</w:t>
      </w:r>
      <w:r w:rsidR="00D85F54">
        <w:rPr>
          <w:rFonts w:ascii="Times New Roman" w:hAnsi="Times New Roman"/>
          <w:sz w:val="24"/>
          <w:szCs w:val="24"/>
        </w:rPr>
        <w:t xml:space="preserve">, išsiskiria </w:t>
      </w:r>
      <w:r w:rsidR="004F2EE2">
        <w:rPr>
          <w:rFonts w:ascii="Times New Roman" w:hAnsi="Times New Roman"/>
          <w:sz w:val="24"/>
          <w:szCs w:val="24"/>
        </w:rPr>
        <w:t>darželis-mokykla „Kregždutė“</w:t>
      </w:r>
      <w:r w:rsidR="00D85F54">
        <w:rPr>
          <w:rFonts w:ascii="Times New Roman" w:hAnsi="Times New Roman"/>
          <w:sz w:val="24"/>
          <w:szCs w:val="24"/>
        </w:rPr>
        <w:t>, kur susirgimų atvejų skaičiu</w:t>
      </w:r>
      <w:r w:rsidR="004F2EE2">
        <w:rPr>
          <w:rFonts w:ascii="Times New Roman" w:hAnsi="Times New Roman"/>
          <w:sz w:val="24"/>
          <w:szCs w:val="24"/>
        </w:rPr>
        <w:t>s, tenkantis 10 vaikų, sudarė 8 atvejus</w:t>
      </w:r>
      <w:r>
        <w:rPr>
          <w:rFonts w:ascii="Times New Roman" w:hAnsi="Times New Roman"/>
          <w:sz w:val="24"/>
          <w:szCs w:val="24"/>
        </w:rPr>
        <w:t>.</w:t>
      </w:r>
      <w:r w:rsidR="00D85F54">
        <w:rPr>
          <w:rFonts w:ascii="Times New Roman" w:hAnsi="Times New Roman"/>
          <w:sz w:val="24"/>
          <w:szCs w:val="24"/>
        </w:rPr>
        <w:t xml:space="preserve"> Taip pat šiek tiek viršijo vidurkį </w:t>
      </w:r>
      <w:r w:rsidR="004F2EE2">
        <w:rPr>
          <w:rFonts w:ascii="Times New Roman" w:hAnsi="Times New Roman"/>
          <w:sz w:val="24"/>
          <w:szCs w:val="24"/>
        </w:rPr>
        <w:t xml:space="preserve">l./d. „Eglutė“, l./d. „Žilvitis“, </w:t>
      </w:r>
      <w:r w:rsidR="00D85F54">
        <w:rPr>
          <w:rFonts w:ascii="Times New Roman" w:hAnsi="Times New Roman"/>
          <w:sz w:val="24"/>
          <w:szCs w:val="24"/>
        </w:rPr>
        <w:t>l./d. „</w:t>
      </w:r>
      <w:r w:rsidR="004F2EE2">
        <w:rPr>
          <w:rFonts w:ascii="Times New Roman" w:hAnsi="Times New Roman"/>
          <w:sz w:val="24"/>
          <w:szCs w:val="24"/>
        </w:rPr>
        <w:t>Bitutė</w:t>
      </w:r>
      <w:r w:rsidR="00D85F54">
        <w:rPr>
          <w:rFonts w:ascii="Times New Roman" w:hAnsi="Times New Roman"/>
          <w:sz w:val="24"/>
          <w:szCs w:val="24"/>
        </w:rPr>
        <w:t>“, l./d. „</w:t>
      </w:r>
      <w:r w:rsidR="004F2EE2">
        <w:rPr>
          <w:rFonts w:ascii="Times New Roman" w:hAnsi="Times New Roman"/>
          <w:sz w:val="24"/>
          <w:szCs w:val="24"/>
        </w:rPr>
        <w:t>Delfinas</w:t>
      </w:r>
      <w:r w:rsidR="00D85F54">
        <w:rPr>
          <w:rFonts w:ascii="Times New Roman" w:hAnsi="Times New Roman"/>
          <w:sz w:val="24"/>
          <w:szCs w:val="24"/>
        </w:rPr>
        <w:t>“ ir l./d. „</w:t>
      </w:r>
      <w:r w:rsidR="004F2EE2">
        <w:rPr>
          <w:rFonts w:ascii="Times New Roman" w:hAnsi="Times New Roman"/>
          <w:sz w:val="24"/>
          <w:szCs w:val="24"/>
        </w:rPr>
        <w:t>Gintarėlis</w:t>
      </w:r>
      <w:r w:rsidR="00D85F54">
        <w:rPr>
          <w:rFonts w:ascii="Times New Roman" w:hAnsi="Times New Roman"/>
          <w:sz w:val="24"/>
          <w:szCs w:val="24"/>
        </w:rPr>
        <w:t xml:space="preserve">“ - susirgimų atvejų skaičius, tenkantis 10 vaikų, sudarė </w:t>
      </w:r>
      <w:r w:rsidR="004F2EE2">
        <w:rPr>
          <w:rFonts w:ascii="Times New Roman" w:hAnsi="Times New Roman"/>
          <w:sz w:val="24"/>
          <w:szCs w:val="24"/>
        </w:rPr>
        <w:t>6-</w:t>
      </w:r>
      <w:r w:rsidR="00D85F54">
        <w:rPr>
          <w:rFonts w:ascii="Times New Roman" w:hAnsi="Times New Roman"/>
          <w:sz w:val="24"/>
          <w:szCs w:val="24"/>
        </w:rPr>
        <w:t>7 atvejus</w:t>
      </w:r>
      <w:r w:rsidR="004F2EE2">
        <w:rPr>
          <w:rFonts w:ascii="Times New Roman" w:hAnsi="Times New Roman"/>
          <w:sz w:val="24"/>
          <w:szCs w:val="24"/>
        </w:rPr>
        <w:t>.</w:t>
      </w:r>
      <w:r w:rsidR="00D85F54">
        <w:rPr>
          <w:rFonts w:ascii="Times New Roman" w:hAnsi="Times New Roman"/>
          <w:sz w:val="24"/>
          <w:szCs w:val="24"/>
        </w:rPr>
        <w:t xml:space="preserve"> </w:t>
      </w:r>
      <w:r w:rsidR="004F2EE2">
        <w:rPr>
          <w:rFonts w:ascii="Times New Roman" w:hAnsi="Times New Roman"/>
          <w:sz w:val="24"/>
          <w:szCs w:val="24"/>
        </w:rPr>
        <w:t>Mažiausiai susirgimų užregistruota d</w:t>
      </w:r>
      <w:r w:rsidR="004F2EE2" w:rsidRPr="004C7084">
        <w:rPr>
          <w:rFonts w:ascii="Times New Roman" w:hAnsi="Times New Roman"/>
          <w:sz w:val="24"/>
          <w:szCs w:val="24"/>
        </w:rPr>
        <w:t>arželyje „Namučiai po smilga“</w:t>
      </w:r>
      <w:r w:rsidR="004F2EE2">
        <w:rPr>
          <w:rFonts w:ascii="Times New Roman" w:hAnsi="Times New Roman"/>
          <w:sz w:val="24"/>
          <w:szCs w:val="24"/>
        </w:rPr>
        <w:t xml:space="preserve"> - 0,4 atvejo/10 vaikų </w:t>
      </w:r>
      <w:r w:rsidR="00D85F54" w:rsidRPr="004C7084">
        <w:rPr>
          <w:rFonts w:ascii="Times New Roman" w:hAnsi="Times New Roman"/>
          <w:sz w:val="24"/>
          <w:szCs w:val="24"/>
        </w:rPr>
        <w:t xml:space="preserve">(1 pav.). </w:t>
      </w:r>
    </w:p>
    <w:p w:rsidR="004F2EE2" w:rsidRPr="004F2EE2" w:rsidRDefault="004F2EE2" w:rsidP="004F2EE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lt-LT"/>
        </w:rPr>
        <w:drawing>
          <wp:inline distT="0" distB="0" distL="0" distR="0" wp14:anchorId="0DD5EE95" wp14:editId="0BE87A37">
            <wp:extent cx="4743450" cy="261937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2EE2" w:rsidRPr="008E1982" w:rsidRDefault="004F2EE2" w:rsidP="004F2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84">
        <w:rPr>
          <w:rFonts w:ascii="Times New Roman" w:hAnsi="Times New Roman"/>
          <w:b/>
          <w:sz w:val="24"/>
          <w:szCs w:val="24"/>
        </w:rPr>
        <w:t xml:space="preserve">2 pav. </w:t>
      </w:r>
      <w:r>
        <w:rPr>
          <w:rFonts w:ascii="Times New Roman" w:hAnsi="Times New Roman"/>
          <w:b/>
          <w:sz w:val="24"/>
          <w:szCs w:val="24"/>
        </w:rPr>
        <w:t>Balandžio</w:t>
      </w:r>
      <w:r w:rsidRPr="004C7084">
        <w:rPr>
          <w:rFonts w:ascii="Times New Roman" w:hAnsi="Times New Roman"/>
          <w:b/>
          <w:sz w:val="24"/>
          <w:szCs w:val="24"/>
        </w:rPr>
        <w:t xml:space="preserve"> mėn. vaikų sergamumas pagal ligas, proc.</w:t>
      </w:r>
    </w:p>
    <w:p w:rsidR="004F2EE2" w:rsidRDefault="004F2EE2" w:rsidP="00FD2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2EE2" w:rsidRDefault="004F2EE2" w:rsidP="004F2E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84">
        <w:rPr>
          <w:rFonts w:ascii="Times New Roman" w:hAnsi="Times New Roman"/>
          <w:sz w:val="24"/>
          <w:szCs w:val="24"/>
        </w:rPr>
        <w:t xml:space="preserve">Vertinant pagal ligas, didžiausias sergamumas užregistruotas kvėpavimo sistemos ligomis – </w:t>
      </w:r>
      <w:r w:rsidR="00BF18B0">
        <w:rPr>
          <w:rFonts w:ascii="Times New Roman" w:hAnsi="Times New Roman"/>
          <w:sz w:val="24"/>
          <w:szCs w:val="24"/>
        </w:rPr>
        <w:t>1038 atvejai, tai sudarė 87</w:t>
      </w:r>
      <w:r>
        <w:rPr>
          <w:rFonts w:ascii="Times New Roman" w:hAnsi="Times New Roman"/>
          <w:sz w:val="24"/>
          <w:szCs w:val="24"/>
        </w:rPr>
        <w:t>,5</w:t>
      </w:r>
      <w:r w:rsidRPr="004C7084">
        <w:rPr>
          <w:rFonts w:ascii="Times New Roman" w:hAnsi="Times New Roman"/>
          <w:sz w:val="24"/>
          <w:szCs w:val="24"/>
        </w:rPr>
        <w:t xml:space="preserve"> proc. visų ligų. Antroje vietoje </w:t>
      </w:r>
      <w:r w:rsidR="00BF18B0">
        <w:rPr>
          <w:rFonts w:ascii="Times New Roman" w:hAnsi="Times New Roman"/>
          <w:sz w:val="24"/>
          <w:szCs w:val="24"/>
        </w:rPr>
        <w:t>- virškinimo sistemos ligos - 30 atvejų (2,5</w:t>
      </w:r>
      <w:r w:rsidRPr="004C7084">
        <w:rPr>
          <w:rFonts w:ascii="Times New Roman" w:hAnsi="Times New Roman"/>
          <w:sz w:val="24"/>
          <w:szCs w:val="24"/>
        </w:rPr>
        <w:t xml:space="preserve"> proc. visų ligų), treč</w:t>
      </w:r>
      <w:r w:rsidR="00BF18B0">
        <w:rPr>
          <w:rFonts w:ascii="Times New Roman" w:hAnsi="Times New Roman"/>
          <w:sz w:val="24"/>
          <w:szCs w:val="24"/>
        </w:rPr>
        <w:t>ioje - ausų ligos - 24 atvejai (2</w:t>
      </w:r>
      <w:r>
        <w:rPr>
          <w:rFonts w:ascii="Times New Roman" w:hAnsi="Times New Roman"/>
          <w:sz w:val="24"/>
          <w:szCs w:val="24"/>
        </w:rPr>
        <w:t xml:space="preserve"> proc. visų ligų). </w:t>
      </w:r>
      <w:r w:rsidR="007A7A85">
        <w:rPr>
          <w:rFonts w:ascii="Times New Roman" w:hAnsi="Times New Roman"/>
          <w:sz w:val="24"/>
          <w:szCs w:val="24"/>
        </w:rPr>
        <w:t>Taip pat nemažą</w:t>
      </w:r>
      <w:r>
        <w:rPr>
          <w:rFonts w:ascii="Times New Roman" w:hAnsi="Times New Roman"/>
          <w:sz w:val="24"/>
          <w:szCs w:val="24"/>
        </w:rPr>
        <w:t xml:space="preserve"> susirgimų</w:t>
      </w:r>
      <w:r w:rsidRPr="004C7084">
        <w:rPr>
          <w:rFonts w:ascii="Times New Roman" w:hAnsi="Times New Roman"/>
          <w:sz w:val="24"/>
          <w:szCs w:val="24"/>
        </w:rPr>
        <w:t xml:space="preserve"> atvejų skaiči</w:t>
      </w:r>
      <w:r>
        <w:rPr>
          <w:rFonts w:ascii="Times New Roman" w:hAnsi="Times New Roman"/>
          <w:sz w:val="24"/>
          <w:szCs w:val="24"/>
        </w:rPr>
        <w:t xml:space="preserve">ų sudarė </w:t>
      </w:r>
      <w:r w:rsidR="007A7A85">
        <w:rPr>
          <w:rFonts w:ascii="Times New Roman" w:hAnsi="Times New Roman"/>
          <w:sz w:val="24"/>
          <w:szCs w:val="24"/>
        </w:rPr>
        <w:t>kitos ligos</w:t>
      </w:r>
      <w:r w:rsidR="00BF18B0">
        <w:rPr>
          <w:rFonts w:ascii="Times New Roman" w:hAnsi="Times New Roman"/>
          <w:sz w:val="24"/>
          <w:szCs w:val="24"/>
        </w:rPr>
        <w:t xml:space="preserve"> -</w:t>
      </w:r>
      <w:r w:rsidR="007A7A85">
        <w:rPr>
          <w:rFonts w:ascii="Times New Roman" w:hAnsi="Times New Roman"/>
          <w:sz w:val="24"/>
          <w:szCs w:val="24"/>
        </w:rPr>
        <w:t xml:space="preserve"> </w:t>
      </w:r>
      <w:r w:rsidR="00BF18B0">
        <w:rPr>
          <w:rFonts w:ascii="Times New Roman" w:hAnsi="Times New Roman"/>
          <w:sz w:val="24"/>
          <w:szCs w:val="24"/>
        </w:rPr>
        <w:t>23 atvejai</w:t>
      </w:r>
      <w:r w:rsidR="007A7A85">
        <w:rPr>
          <w:rFonts w:ascii="Times New Roman" w:hAnsi="Times New Roman"/>
          <w:sz w:val="24"/>
          <w:szCs w:val="24"/>
        </w:rPr>
        <w:t>,</w:t>
      </w:r>
      <w:r w:rsidR="00BF18B0">
        <w:rPr>
          <w:rFonts w:ascii="Times New Roman" w:hAnsi="Times New Roman"/>
          <w:sz w:val="24"/>
          <w:szCs w:val="24"/>
        </w:rPr>
        <w:t xml:space="preserve"> (1,9 proc. visų ligų) ir žarnyno infekcijos - 19 atvejų (1,6 proc. visų ligų).</w:t>
      </w:r>
      <w:r>
        <w:rPr>
          <w:rFonts w:ascii="Times New Roman" w:hAnsi="Times New Roman"/>
          <w:sz w:val="24"/>
          <w:szCs w:val="24"/>
        </w:rPr>
        <w:t xml:space="preserve"> </w:t>
      </w:r>
      <w:r w:rsidR="00BF18B0">
        <w:rPr>
          <w:rFonts w:ascii="Times New Roman" w:hAnsi="Times New Roman"/>
          <w:sz w:val="24"/>
          <w:szCs w:val="24"/>
        </w:rPr>
        <w:t>Susirgimai akių ligomis sudarė 10 atvejų, o</w:t>
      </w:r>
      <w:r w:rsidR="007A7A85">
        <w:rPr>
          <w:rFonts w:ascii="Times New Roman" w:hAnsi="Times New Roman"/>
          <w:sz w:val="24"/>
          <w:szCs w:val="24"/>
        </w:rPr>
        <w:t>dos ir poodžio ligos - 9 atvejus</w:t>
      </w:r>
      <w:r w:rsidR="00BF18B0">
        <w:rPr>
          <w:rFonts w:ascii="Times New Roman" w:hAnsi="Times New Roman"/>
          <w:sz w:val="24"/>
          <w:szCs w:val="24"/>
        </w:rPr>
        <w:t>, susirgimai urogenitalinės sistemos ligomis</w:t>
      </w:r>
      <w:r>
        <w:rPr>
          <w:rFonts w:ascii="Times New Roman" w:hAnsi="Times New Roman"/>
          <w:sz w:val="24"/>
          <w:szCs w:val="24"/>
        </w:rPr>
        <w:t xml:space="preserve"> </w:t>
      </w:r>
      <w:r w:rsidR="007A7A85">
        <w:rPr>
          <w:rFonts w:ascii="Times New Roman" w:hAnsi="Times New Roman"/>
          <w:sz w:val="24"/>
          <w:szCs w:val="24"/>
        </w:rPr>
        <w:t>- 4 atvejus</w:t>
      </w:r>
      <w:r w:rsidR="00BF18B0">
        <w:rPr>
          <w:rFonts w:ascii="Times New Roman" w:hAnsi="Times New Roman"/>
          <w:sz w:val="24"/>
          <w:szCs w:val="24"/>
        </w:rPr>
        <w:t>, ne</w:t>
      </w:r>
      <w:r w:rsidR="007A7A85">
        <w:rPr>
          <w:rFonts w:ascii="Times New Roman" w:hAnsi="Times New Roman"/>
          <w:sz w:val="24"/>
          <w:szCs w:val="24"/>
        </w:rPr>
        <w:t>rvų sistemos ligomis - 3 atvejus</w:t>
      </w:r>
      <w:r w:rsidR="00BF18B0">
        <w:rPr>
          <w:rFonts w:ascii="Times New Roman" w:hAnsi="Times New Roman"/>
          <w:sz w:val="24"/>
          <w:szCs w:val="24"/>
        </w:rPr>
        <w:t>. Užregistruoti 24 susirgimai vėjaraupiais, 2 skarlatinos atvejai. G</w:t>
      </w:r>
      <w:r w:rsidRPr="004C7084">
        <w:rPr>
          <w:rFonts w:ascii="Times New Roman" w:hAnsi="Times New Roman"/>
          <w:sz w:val="24"/>
          <w:szCs w:val="24"/>
        </w:rPr>
        <w:t>ripo atv</w:t>
      </w:r>
      <w:r w:rsidR="00BF18B0">
        <w:rPr>
          <w:rFonts w:ascii="Times New Roman" w:hAnsi="Times New Roman"/>
          <w:sz w:val="24"/>
          <w:szCs w:val="24"/>
        </w:rPr>
        <w:t>ejų</w:t>
      </w:r>
      <w:r>
        <w:rPr>
          <w:rFonts w:ascii="Times New Roman" w:hAnsi="Times New Roman"/>
          <w:sz w:val="24"/>
          <w:szCs w:val="24"/>
        </w:rPr>
        <w:t xml:space="preserve"> </w:t>
      </w:r>
      <w:r w:rsidR="00BF18B0">
        <w:rPr>
          <w:rFonts w:ascii="Times New Roman" w:hAnsi="Times New Roman"/>
          <w:sz w:val="24"/>
          <w:szCs w:val="24"/>
        </w:rPr>
        <w:t xml:space="preserve">balandžio mėnesį registruota nebuvo </w:t>
      </w:r>
      <w:r w:rsidRPr="004C7084">
        <w:rPr>
          <w:rFonts w:ascii="Times New Roman" w:hAnsi="Times New Roman"/>
          <w:sz w:val="24"/>
          <w:szCs w:val="24"/>
        </w:rPr>
        <w:t>(2 pav.).</w:t>
      </w:r>
    </w:p>
    <w:p w:rsidR="004A003F" w:rsidRDefault="004A003F" w:rsidP="004A0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03F" w:rsidRPr="00693448" w:rsidRDefault="004A003F" w:rsidP="00693448">
      <w:pPr>
        <w:pStyle w:val="Betarp"/>
        <w:jc w:val="center"/>
        <w:rPr>
          <w:rFonts w:ascii="Times New Roman" w:hAnsi="Times New Roman"/>
          <w:b/>
          <w:i/>
          <w:sz w:val="28"/>
          <w:szCs w:val="28"/>
        </w:rPr>
      </w:pPr>
      <w:r w:rsidRPr="00693448">
        <w:rPr>
          <w:rFonts w:ascii="Times New Roman" w:hAnsi="Times New Roman"/>
          <w:b/>
          <w:i/>
          <w:sz w:val="28"/>
          <w:szCs w:val="28"/>
        </w:rPr>
        <w:t>Gegužės mėn.</w:t>
      </w:r>
    </w:p>
    <w:p w:rsidR="004A003F" w:rsidRPr="00DA3753" w:rsidRDefault="004A003F" w:rsidP="004A00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003F" w:rsidRDefault="00693448" w:rsidP="004A00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Per gegužės</w:t>
      </w:r>
      <w:r w:rsidR="004A003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mėn. užregistruoti 1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065</w:t>
      </w:r>
      <w:r w:rsidR="004A003F" w:rsidRPr="00DC709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</w:t>
      </w:r>
      <w:r w:rsidR="004A003F">
        <w:rPr>
          <w:rFonts w:ascii="Times New Roman" w:eastAsia="Times New Roman" w:hAnsi="Times New Roman"/>
          <w:bCs/>
          <w:sz w:val="24"/>
          <w:szCs w:val="24"/>
          <w:lang w:eastAsia="lt-LT"/>
        </w:rPr>
        <w:t>usirgimai (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7 556</w:t>
      </w:r>
      <w:r w:rsidR="00D660C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dėl ligos praleistos dienos). Tai yra 121 atveju</w:t>
      </w:r>
      <w:r w:rsidR="004A003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mažiau</w:t>
      </w:r>
      <w:r w:rsidR="004A003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nei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balandžio</w:t>
      </w:r>
      <w:r w:rsidR="004A003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mėn. </w:t>
      </w:r>
      <w:r w:rsidR="00FD28B8" w:rsidRPr="00FD28B8">
        <w:rPr>
          <w:rFonts w:ascii="Times New Roman" w:eastAsia="Times New Roman" w:hAnsi="Times New Roman"/>
          <w:bCs/>
          <w:sz w:val="24"/>
          <w:szCs w:val="24"/>
          <w:lang w:eastAsia="lt-LT"/>
        </w:rPr>
        <w:t>Susirgimų atvejų skaičius, tenkantis</w:t>
      </w:r>
      <w:r w:rsidR="00FD28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10 vaikų, svyravo nuo 0,4 iki 10</w:t>
      </w:r>
      <w:r w:rsidR="00FD28B8" w:rsidRPr="00FD28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atvejų. </w:t>
      </w:r>
      <w:r w:rsidR="004A003F">
        <w:rPr>
          <w:rFonts w:ascii="Times New Roman" w:hAnsi="Times New Roman"/>
          <w:sz w:val="24"/>
          <w:szCs w:val="24"/>
        </w:rPr>
        <w:t>V</w:t>
      </w:r>
      <w:r w:rsidR="004A003F" w:rsidRPr="00F77750">
        <w:rPr>
          <w:rFonts w:ascii="Times New Roman" w:hAnsi="Times New Roman"/>
          <w:sz w:val="24"/>
          <w:szCs w:val="24"/>
        </w:rPr>
        <w:t>idutiniškai</w:t>
      </w:r>
      <w:r w:rsidR="004A003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4A003F">
        <w:rPr>
          <w:rFonts w:ascii="Times New Roman" w:hAnsi="Times New Roman"/>
          <w:sz w:val="24"/>
          <w:szCs w:val="24"/>
        </w:rPr>
        <w:t>susirgimų</w:t>
      </w:r>
      <w:r w:rsidR="004A003F" w:rsidRPr="00774362">
        <w:rPr>
          <w:rFonts w:ascii="Times New Roman" w:hAnsi="Times New Roman"/>
          <w:sz w:val="24"/>
          <w:szCs w:val="24"/>
        </w:rPr>
        <w:t xml:space="preserve"> atvejų skaičius, tenkantis 1</w:t>
      </w:r>
      <w:r>
        <w:rPr>
          <w:rFonts w:ascii="Times New Roman" w:hAnsi="Times New Roman"/>
          <w:sz w:val="24"/>
          <w:szCs w:val="24"/>
        </w:rPr>
        <w:t>0 vaikų, sudarė 5 atvejus (33</w:t>
      </w:r>
      <w:r w:rsidR="004A003F" w:rsidRPr="00C72F46">
        <w:rPr>
          <w:rFonts w:ascii="Times New Roman" w:hAnsi="Times New Roman"/>
          <w:sz w:val="24"/>
          <w:szCs w:val="24"/>
        </w:rPr>
        <w:t xml:space="preserve"> dėl </w:t>
      </w:r>
      <w:r>
        <w:rPr>
          <w:rFonts w:ascii="Times New Roman" w:hAnsi="Times New Roman"/>
          <w:sz w:val="24"/>
          <w:szCs w:val="24"/>
        </w:rPr>
        <w:t>ligos praleistos</w:t>
      </w:r>
      <w:r w:rsidR="004A0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dienos</w:t>
      </w:r>
      <w:r w:rsidR="004A003F">
        <w:rPr>
          <w:rFonts w:ascii="Times New Roman" w:hAnsi="Times New Roman"/>
          <w:sz w:val="24"/>
          <w:szCs w:val="24"/>
        </w:rPr>
        <w:t>)</w:t>
      </w:r>
      <w:r w:rsidR="00FD28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(2</w:t>
      </w:r>
      <w:r w:rsidR="004A003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lentelė).</w:t>
      </w:r>
    </w:p>
    <w:p w:rsidR="00FD28B8" w:rsidRDefault="00FD28B8" w:rsidP="004A003F">
      <w:pPr>
        <w:pStyle w:val="Betarp"/>
        <w:rPr>
          <w:rFonts w:ascii="Times New Roman" w:hAnsi="Times New Roman"/>
          <w:b/>
          <w:sz w:val="24"/>
          <w:szCs w:val="24"/>
          <w:lang w:eastAsia="lt-LT"/>
        </w:rPr>
      </w:pPr>
    </w:p>
    <w:p w:rsidR="00FD28B8" w:rsidRDefault="00FD28B8" w:rsidP="004A003F">
      <w:pPr>
        <w:pStyle w:val="Betarp"/>
        <w:rPr>
          <w:rFonts w:ascii="Times New Roman" w:hAnsi="Times New Roman"/>
          <w:b/>
          <w:sz w:val="24"/>
          <w:szCs w:val="24"/>
          <w:lang w:eastAsia="lt-LT"/>
        </w:rPr>
      </w:pPr>
    </w:p>
    <w:p w:rsidR="00FD28B8" w:rsidRDefault="00FD28B8" w:rsidP="004A003F">
      <w:pPr>
        <w:pStyle w:val="Betarp"/>
        <w:rPr>
          <w:rFonts w:ascii="Times New Roman" w:hAnsi="Times New Roman"/>
          <w:b/>
          <w:sz w:val="24"/>
          <w:szCs w:val="24"/>
          <w:lang w:eastAsia="lt-LT"/>
        </w:rPr>
      </w:pPr>
    </w:p>
    <w:p w:rsidR="00FD28B8" w:rsidRDefault="00FD28B8" w:rsidP="004A003F">
      <w:pPr>
        <w:pStyle w:val="Betarp"/>
        <w:rPr>
          <w:rFonts w:ascii="Times New Roman" w:hAnsi="Times New Roman"/>
          <w:b/>
          <w:sz w:val="24"/>
          <w:szCs w:val="24"/>
          <w:lang w:eastAsia="lt-LT"/>
        </w:rPr>
      </w:pPr>
    </w:p>
    <w:p w:rsidR="004A003F" w:rsidRPr="00011EAD" w:rsidRDefault="00FD28B8" w:rsidP="004A003F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lastRenderedPageBreak/>
        <w:t>2</w:t>
      </w:r>
      <w:r w:rsidR="004A003F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lentelė. </w:t>
      </w:r>
      <w:r w:rsidR="004A003F">
        <w:rPr>
          <w:rFonts w:ascii="Times New Roman" w:hAnsi="Times New Roman"/>
          <w:b/>
          <w:sz w:val="24"/>
          <w:szCs w:val="24"/>
          <w:lang w:eastAsia="lt-LT"/>
        </w:rPr>
        <w:t xml:space="preserve">2016 m. </w:t>
      </w:r>
      <w:r>
        <w:rPr>
          <w:rFonts w:ascii="Times New Roman" w:hAnsi="Times New Roman"/>
          <w:b/>
          <w:sz w:val="24"/>
          <w:szCs w:val="24"/>
          <w:lang w:eastAsia="lt-LT"/>
        </w:rPr>
        <w:t>gegužės</w:t>
      </w:r>
      <w:r w:rsidR="004A003F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mėn.</w:t>
      </w:r>
      <w:r w:rsidR="004A003F">
        <w:rPr>
          <w:rFonts w:ascii="Times New Roman" w:hAnsi="Times New Roman"/>
          <w:b/>
          <w:sz w:val="24"/>
          <w:szCs w:val="24"/>
          <w:lang w:eastAsia="lt-LT"/>
        </w:rPr>
        <w:t xml:space="preserve"> praleistų dienų ir susirgimų atvejų skaičius</w:t>
      </w:r>
      <w:r w:rsidR="004A003F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pagal įstaigas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389"/>
        <w:gridCol w:w="1163"/>
        <w:gridCol w:w="1270"/>
        <w:gridCol w:w="1334"/>
      </w:tblGrid>
      <w:tr w:rsidR="004A003F" w:rsidRPr="00DD21DC" w:rsidTr="007055C3">
        <w:trPr>
          <w:trHeight w:val="841"/>
        </w:trPr>
        <w:tc>
          <w:tcPr>
            <w:tcW w:w="3397" w:type="dxa"/>
            <w:shd w:val="clear" w:color="auto" w:fill="auto"/>
            <w:vAlign w:val="center"/>
          </w:tcPr>
          <w:p w:rsidR="004A003F" w:rsidRPr="00E052E1" w:rsidRDefault="004A003F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03F" w:rsidRPr="00E052E1" w:rsidRDefault="004A003F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Įstaigos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03F" w:rsidRPr="00E052E1" w:rsidRDefault="004A003F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Praleistų dienų skaičius</w:t>
            </w:r>
          </w:p>
          <w:p w:rsidR="004A003F" w:rsidRPr="00E052E1" w:rsidRDefault="004A003F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(dėl ligos)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A003F" w:rsidRPr="00E052E1" w:rsidRDefault="004A003F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Praleistų dienų skaičius, tenkantis 10 vaikų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003F" w:rsidRPr="00E052E1" w:rsidRDefault="004A003F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Susirgimų atvejų skaičius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A003F" w:rsidRPr="00E052E1" w:rsidRDefault="004A003F" w:rsidP="007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Susirgimų atvejų skaičius, tenkantis 10 vaikų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„Žilvitis“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„Buratinas“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„Gintarėlis“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„Berželis“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„Eglutė“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„Delfinas“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„Linelis“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„Saulutė“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„Bitutė“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„Pasaka“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Viekšnių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„Liepaitė“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Sedos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Tirkšlių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„Giliukas“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"Kregždutė" darželis - mokykla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7176F" w:rsidRDefault="004A003F" w:rsidP="007055C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VĮ 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Mažeikių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nevalstybinis Valdorfo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„Namučiai po smilga“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A003F" w:rsidRPr="00DD21DC" w:rsidTr="007055C3">
        <w:tc>
          <w:tcPr>
            <w:tcW w:w="3397" w:type="dxa"/>
            <w:shd w:val="clear" w:color="auto" w:fill="auto"/>
          </w:tcPr>
          <w:p w:rsidR="004A003F" w:rsidRPr="00DD21DC" w:rsidRDefault="004A003F" w:rsidP="007055C3">
            <w:pPr>
              <w:pStyle w:val="Betarp"/>
              <w:jc w:val="righ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D21D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Viso</w:t>
            </w:r>
          </w:p>
        </w:tc>
        <w:tc>
          <w:tcPr>
            <w:tcW w:w="1389" w:type="dxa"/>
            <w:shd w:val="clear" w:color="auto" w:fill="auto"/>
          </w:tcPr>
          <w:p w:rsidR="004A003F" w:rsidRPr="00DD21DC" w:rsidRDefault="00FD28B8" w:rsidP="007055C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7 556</w:t>
            </w:r>
          </w:p>
        </w:tc>
        <w:tc>
          <w:tcPr>
            <w:tcW w:w="1163" w:type="dxa"/>
            <w:shd w:val="clear" w:color="auto" w:fill="auto"/>
          </w:tcPr>
          <w:p w:rsidR="004A003F" w:rsidRPr="00DD21DC" w:rsidRDefault="00FD28B8" w:rsidP="007055C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0" w:type="dxa"/>
            <w:shd w:val="clear" w:color="auto" w:fill="auto"/>
          </w:tcPr>
          <w:p w:rsidR="004A003F" w:rsidRPr="00DD21DC" w:rsidRDefault="00FD28B8" w:rsidP="007055C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1 065</w:t>
            </w:r>
          </w:p>
        </w:tc>
        <w:tc>
          <w:tcPr>
            <w:tcW w:w="1334" w:type="dxa"/>
            <w:shd w:val="clear" w:color="auto" w:fill="auto"/>
          </w:tcPr>
          <w:p w:rsidR="004A003F" w:rsidRPr="00DD21DC" w:rsidRDefault="00FD28B8" w:rsidP="007055C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A003F" w:rsidRDefault="004A003F" w:rsidP="00FD2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28B8" w:rsidRDefault="00D660C7" w:rsidP="00FD28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Lyginant pagal</w:t>
      </w:r>
      <w:r w:rsidR="00FD28B8">
        <w:rPr>
          <w:rFonts w:ascii="Times New Roman" w:hAnsi="Times New Roman"/>
          <w:sz w:val="24"/>
          <w:szCs w:val="24"/>
        </w:rPr>
        <w:t xml:space="preserve"> ikimokyklinio u</w:t>
      </w:r>
      <w:r>
        <w:rPr>
          <w:rFonts w:ascii="Times New Roman" w:hAnsi="Times New Roman"/>
          <w:sz w:val="24"/>
          <w:szCs w:val="24"/>
        </w:rPr>
        <w:t>gdymo įstaigų susirgimų vidurkį</w:t>
      </w:r>
      <w:r w:rsidR="00FD28B8">
        <w:rPr>
          <w:rFonts w:ascii="Times New Roman" w:hAnsi="Times New Roman"/>
          <w:sz w:val="24"/>
          <w:szCs w:val="24"/>
        </w:rPr>
        <w:t xml:space="preserve">, išsiskiria </w:t>
      </w:r>
      <w:r w:rsidR="00390C81">
        <w:rPr>
          <w:rFonts w:ascii="Times New Roman" w:hAnsi="Times New Roman"/>
          <w:sz w:val="24"/>
          <w:szCs w:val="24"/>
        </w:rPr>
        <w:t xml:space="preserve">l./d. „Gintarėlis“, </w:t>
      </w:r>
      <w:r w:rsidR="00FD28B8">
        <w:rPr>
          <w:rFonts w:ascii="Times New Roman" w:hAnsi="Times New Roman"/>
          <w:sz w:val="24"/>
          <w:szCs w:val="24"/>
        </w:rPr>
        <w:t xml:space="preserve">kur susirgimų atvejų skaičius, tenkantis 10 vaikų, </w:t>
      </w:r>
      <w:r w:rsidR="00390C81">
        <w:rPr>
          <w:rFonts w:ascii="Times New Roman" w:hAnsi="Times New Roman"/>
          <w:sz w:val="24"/>
          <w:szCs w:val="24"/>
        </w:rPr>
        <w:t>2 kartus</w:t>
      </w:r>
      <w:r w:rsidR="00FD28B8">
        <w:rPr>
          <w:rFonts w:ascii="Times New Roman" w:hAnsi="Times New Roman"/>
          <w:sz w:val="24"/>
          <w:szCs w:val="24"/>
        </w:rPr>
        <w:t xml:space="preserve"> viršijo vidurkį. Taip pat šiek tiek viršijo  vidurkį l./d. „Delfinas“ </w:t>
      </w:r>
      <w:r w:rsidR="00390C81">
        <w:rPr>
          <w:rFonts w:ascii="Times New Roman" w:hAnsi="Times New Roman"/>
          <w:sz w:val="24"/>
          <w:szCs w:val="24"/>
        </w:rPr>
        <w:t>ir darželis</w:t>
      </w:r>
      <w:r w:rsidR="009B6E13">
        <w:rPr>
          <w:rFonts w:ascii="Times New Roman" w:hAnsi="Times New Roman"/>
          <w:sz w:val="24"/>
          <w:szCs w:val="24"/>
        </w:rPr>
        <w:t xml:space="preserve"> </w:t>
      </w:r>
      <w:r w:rsidR="00390C81">
        <w:rPr>
          <w:rFonts w:ascii="Times New Roman" w:hAnsi="Times New Roman"/>
          <w:sz w:val="24"/>
          <w:szCs w:val="24"/>
        </w:rPr>
        <w:t>-</w:t>
      </w:r>
      <w:r w:rsidR="009B6E13">
        <w:rPr>
          <w:rFonts w:ascii="Times New Roman" w:hAnsi="Times New Roman"/>
          <w:sz w:val="24"/>
          <w:szCs w:val="24"/>
        </w:rPr>
        <w:t xml:space="preserve"> </w:t>
      </w:r>
      <w:r w:rsidR="00390C81">
        <w:rPr>
          <w:rFonts w:ascii="Times New Roman" w:hAnsi="Times New Roman"/>
          <w:sz w:val="24"/>
          <w:szCs w:val="24"/>
        </w:rPr>
        <w:t>mokykla „Kregždutė“</w:t>
      </w:r>
      <w:r w:rsidR="00FD28B8">
        <w:rPr>
          <w:rFonts w:ascii="Times New Roman" w:hAnsi="Times New Roman"/>
          <w:sz w:val="24"/>
          <w:szCs w:val="24"/>
        </w:rPr>
        <w:t xml:space="preserve">- susirgimų atvejų skaičius </w:t>
      </w:r>
      <w:r w:rsidR="00390C81">
        <w:rPr>
          <w:rFonts w:ascii="Times New Roman" w:hAnsi="Times New Roman"/>
          <w:sz w:val="24"/>
          <w:szCs w:val="24"/>
        </w:rPr>
        <w:t>sudarė po 6 atvejus</w:t>
      </w:r>
      <w:r w:rsidR="00FD28B8">
        <w:rPr>
          <w:rFonts w:ascii="Times New Roman" w:hAnsi="Times New Roman"/>
          <w:sz w:val="24"/>
          <w:szCs w:val="24"/>
        </w:rPr>
        <w:t>/10 vaikų</w:t>
      </w:r>
      <w:r w:rsidR="009B6E13">
        <w:rPr>
          <w:rFonts w:ascii="Times New Roman" w:hAnsi="Times New Roman"/>
          <w:sz w:val="24"/>
          <w:szCs w:val="24"/>
        </w:rPr>
        <w:t>.</w:t>
      </w:r>
      <w:r w:rsidR="009B6E13" w:rsidRPr="009B6E13">
        <w:rPr>
          <w:rFonts w:ascii="Times New Roman" w:hAnsi="Times New Roman"/>
          <w:sz w:val="24"/>
          <w:szCs w:val="24"/>
        </w:rPr>
        <w:t xml:space="preserve"> Mažiausiai susirgimų užregistruota darželyje „Namučiai po smilga“ - 0,4 atvejo/10 vaikų </w:t>
      </w:r>
      <w:r w:rsidR="00FD28B8">
        <w:rPr>
          <w:rFonts w:ascii="Times New Roman" w:hAnsi="Times New Roman"/>
          <w:sz w:val="24"/>
          <w:szCs w:val="24"/>
        </w:rPr>
        <w:t>(3</w:t>
      </w:r>
      <w:r w:rsidR="00FD28B8" w:rsidRPr="004C7084">
        <w:rPr>
          <w:rFonts w:ascii="Times New Roman" w:hAnsi="Times New Roman"/>
          <w:sz w:val="24"/>
          <w:szCs w:val="24"/>
        </w:rPr>
        <w:t xml:space="preserve"> pav.). </w:t>
      </w:r>
    </w:p>
    <w:p w:rsidR="00390C81" w:rsidRDefault="00390C81" w:rsidP="00FD28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0F39476" wp14:editId="5CE70DF1">
            <wp:extent cx="5705475" cy="242887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0C81" w:rsidRPr="00D7176F" w:rsidRDefault="00390C81" w:rsidP="00390C81">
      <w:pPr>
        <w:pStyle w:val="Betarp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3</w:t>
      </w: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pav. Gegužės mėn. vaikų susirgimų</w:t>
      </w: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atvejų skaičius, tenkantis 1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0 vaikų</w:t>
      </w: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</w:t>
      </w:r>
    </w:p>
    <w:p w:rsidR="00390C81" w:rsidRPr="009B6E13" w:rsidRDefault="00390C81" w:rsidP="009B6E13">
      <w:pPr>
        <w:pStyle w:val="Betarp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pagal ikimokyklinio ugdymo įstaigas</w:t>
      </w:r>
    </w:p>
    <w:p w:rsidR="00390C81" w:rsidRDefault="00390C81" w:rsidP="00390C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84">
        <w:rPr>
          <w:rFonts w:ascii="Times New Roman" w:hAnsi="Times New Roman"/>
          <w:sz w:val="24"/>
          <w:szCs w:val="24"/>
        </w:rPr>
        <w:lastRenderedPageBreak/>
        <w:t xml:space="preserve">Vertinant pagal ligas, </w:t>
      </w:r>
      <w:r w:rsidR="001B56BD">
        <w:rPr>
          <w:rFonts w:ascii="Times New Roman" w:hAnsi="Times New Roman"/>
          <w:sz w:val="24"/>
          <w:szCs w:val="24"/>
        </w:rPr>
        <w:t>daugiausiai balandžio mėn. sirgo</w:t>
      </w:r>
      <w:r w:rsidRPr="004C7084">
        <w:rPr>
          <w:rFonts w:ascii="Times New Roman" w:hAnsi="Times New Roman"/>
          <w:sz w:val="24"/>
          <w:szCs w:val="24"/>
        </w:rPr>
        <w:t xml:space="preserve"> kvėpavimo sistemos ligomis – </w:t>
      </w:r>
      <w:r w:rsidR="001B56BD">
        <w:rPr>
          <w:rFonts w:ascii="Times New Roman" w:hAnsi="Times New Roman"/>
          <w:sz w:val="24"/>
          <w:szCs w:val="24"/>
        </w:rPr>
        <w:t>869</w:t>
      </w:r>
      <w:r>
        <w:rPr>
          <w:rFonts w:ascii="Times New Roman" w:hAnsi="Times New Roman"/>
          <w:sz w:val="24"/>
          <w:szCs w:val="24"/>
        </w:rPr>
        <w:t xml:space="preserve"> atvejai</w:t>
      </w:r>
      <w:r w:rsidRPr="004C7084">
        <w:rPr>
          <w:rFonts w:ascii="Times New Roman" w:hAnsi="Times New Roman"/>
          <w:sz w:val="24"/>
          <w:szCs w:val="24"/>
        </w:rPr>
        <w:t xml:space="preserve">, </w:t>
      </w:r>
      <w:r w:rsidR="00D660C7">
        <w:rPr>
          <w:rFonts w:ascii="Times New Roman" w:hAnsi="Times New Roman"/>
          <w:sz w:val="24"/>
          <w:szCs w:val="24"/>
        </w:rPr>
        <w:t xml:space="preserve">o </w:t>
      </w:r>
      <w:r w:rsidRPr="004C7084">
        <w:rPr>
          <w:rFonts w:ascii="Times New Roman" w:hAnsi="Times New Roman"/>
          <w:sz w:val="24"/>
          <w:szCs w:val="24"/>
        </w:rPr>
        <w:t xml:space="preserve">tai sudarė </w:t>
      </w:r>
      <w:r w:rsidR="001B56BD">
        <w:rPr>
          <w:rFonts w:ascii="Times New Roman" w:hAnsi="Times New Roman"/>
          <w:sz w:val="24"/>
          <w:szCs w:val="24"/>
        </w:rPr>
        <w:t>81,6</w:t>
      </w:r>
      <w:r>
        <w:rPr>
          <w:rFonts w:ascii="Times New Roman" w:hAnsi="Times New Roman"/>
          <w:sz w:val="24"/>
          <w:szCs w:val="24"/>
        </w:rPr>
        <w:t xml:space="preserve"> proc. visų ligų, antroje vietoje buvo susirgimai </w:t>
      </w:r>
      <w:r w:rsidR="001B56BD">
        <w:rPr>
          <w:rFonts w:ascii="Times New Roman" w:hAnsi="Times New Roman"/>
          <w:sz w:val="24"/>
          <w:szCs w:val="24"/>
        </w:rPr>
        <w:t>vėjaraupiais</w:t>
      </w:r>
      <w:r w:rsidRPr="004C7084">
        <w:rPr>
          <w:rFonts w:ascii="Times New Roman" w:hAnsi="Times New Roman"/>
          <w:sz w:val="24"/>
          <w:szCs w:val="24"/>
        </w:rPr>
        <w:t xml:space="preserve"> - </w:t>
      </w:r>
      <w:r w:rsidR="001B56BD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atvejai</w:t>
      </w:r>
      <w:r w:rsidRPr="004C7084">
        <w:rPr>
          <w:rFonts w:ascii="Times New Roman" w:hAnsi="Times New Roman"/>
          <w:sz w:val="24"/>
          <w:szCs w:val="24"/>
        </w:rPr>
        <w:t xml:space="preserve"> (</w:t>
      </w:r>
      <w:r w:rsidR="001B56BD">
        <w:rPr>
          <w:rFonts w:ascii="Times New Roman" w:hAnsi="Times New Roman"/>
          <w:sz w:val="24"/>
          <w:szCs w:val="24"/>
        </w:rPr>
        <w:t>5,2</w:t>
      </w:r>
      <w:r>
        <w:rPr>
          <w:rFonts w:ascii="Times New Roman" w:hAnsi="Times New Roman"/>
          <w:sz w:val="24"/>
          <w:szCs w:val="24"/>
        </w:rPr>
        <w:t xml:space="preserve"> proc. visų ligų), trečioje</w:t>
      </w:r>
      <w:r w:rsidRPr="004C7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1B56BD">
        <w:rPr>
          <w:rFonts w:ascii="Times New Roman" w:hAnsi="Times New Roman"/>
          <w:sz w:val="24"/>
          <w:szCs w:val="24"/>
        </w:rPr>
        <w:t>virškinimo sistemos ligos - 37 atvejai (3,5</w:t>
      </w:r>
      <w:r>
        <w:rPr>
          <w:rFonts w:ascii="Times New Roman" w:hAnsi="Times New Roman"/>
          <w:sz w:val="24"/>
          <w:szCs w:val="24"/>
        </w:rPr>
        <w:t xml:space="preserve"> proc. visų ligų)</w:t>
      </w:r>
      <w:r w:rsidR="001B56BD">
        <w:rPr>
          <w:rFonts w:ascii="Times New Roman" w:hAnsi="Times New Roman"/>
          <w:sz w:val="24"/>
          <w:szCs w:val="24"/>
        </w:rPr>
        <w:t xml:space="preserve"> (4 pav.).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770" w:rsidRDefault="005B2770" w:rsidP="005B277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B2770">
        <w:rPr>
          <w:b/>
          <w:noProof/>
          <w:lang w:eastAsia="lt-LT"/>
        </w:rPr>
        <w:drawing>
          <wp:inline distT="0" distB="0" distL="0" distR="0" wp14:anchorId="307690AF" wp14:editId="4B1D2474">
            <wp:extent cx="4762500" cy="25527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2770" w:rsidRPr="004C7084" w:rsidRDefault="005B2770" w:rsidP="005B277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C7084">
        <w:rPr>
          <w:rFonts w:ascii="Times New Roman" w:hAnsi="Times New Roman"/>
          <w:b/>
          <w:sz w:val="24"/>
          <w:szCs w:val="24"/>
        </w:rPr>
        <w:t xml:space="preserve"> pav. </w:t>
      </w:r>
      <w:r>
        <w:rPr>
          <w:rFonts w:ascii="Times New Roman" w:hAnsi="Times New Roman"/>
          <w:b/>
          <w:sz w:val="24"/>
          <w:szCs w:val="24"/>
        </w:rPr>
        <w:t>Gegužės</w:t>
      </w:r>
      <w:r w:rsidRPr="004C7084">
        <w:rPr>
          <w:rFonts w:ascii="Times New Roman" w:hAnsi="Times New Roman"/>
          <w:b/>
          <w:sz w:val="24"/>
          <w:szCs w:val="24"/>
        </w:rPr>
        <w:t xml:space="preserve"> mėn. vaikų sergamumas pagal ligas, proc.</w:t>
      </w:r>
    </w:p>
    <w:p w:rsidR="005B2770" w:rsidRPr="00796E1D" w:rsidRDefault="005B2770" w:rsidP="005B2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1B56BD" w:rsidRDefault="001B56BD" w:rsidP="001B56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Užregistruoti 29 susirgimai kitomis ligomis (2,7 proc. visų ligų), 22 žarnyno infekcijos atvejai (2,1 proc. visų ligų), po 13 susirgimų atvejų - akių ligomis ir ausų ligomis, 12 atvejų - odos ir poodžio ligomis, 8 - urogenitalinės sistemos ligomis, 4 - nervų sistemos ligomis.  </w:t>
      </w:r>
    </w:p>
    <w:p w:rsidR="00FD28B8" w:rsidRDefault="005B2770" w:rsidP="00D73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84">
        <w:rPr>
          <w:rFonts w:ascii="Times New Roman" w:hAnsi="Times New Roman"/>
          <w:sz w:val="24"/>
          <w:szCs w:val="24"/>
        </w:rPr>
        <w:t xml:space="preserve">Užregistruoti </w:t>
      </w:r>
      <w:r>
        <w:rPr>
          <w:rFonts w:ascii="Times New Roman" w:hAnsi="Times New Roman"/>
          <w:sz w:val="24"/>
          <w:szCs w:val="24"/>
        </w:rPr>
        <w:t xml:space="preserve">3 susirgimai </w:t>
      </w:r>
      <w:r w:rsidR="00D660C7">
        <w:rPr>
          <w:rFonts w:ascii="Times New Roman" w:hAnsi="Times New Roman"/>
          <w:sz w:val="24"/>
          <w:szCs w:val="24"/>
        </w:rPr>
        <w:t>skarlatina.</w:t>
      </w:r>
      <w:r w:rsidR="004874EF">
        <w:rPr>
          <w:rFonts w:ascii="Times New Roman" w:hAnsi="Times New Roman"/>
          <w:sz w:val="24"/>
          <w:szCs w:val="24"/>
        </w:rPr>
        <w:t xml:space="preserve"> G</w:t>
      </w:r>
      <w:r w:rsidR="00D660C7">
        <w:rPr>
          <w:rFonts w:ascii="Times New Roman" w:hAnsi="Times New Roman"/>
          <w:sz w:val="24"/>
          <w:szCs w:val="24"/>
        </w:rPr>
        <w:t>ripo atvejų kaip ir balandžio mėn.</w:t>
      </w:r>
      <w:r w:rsidR="00857EF3">
        <w:rPr>
          <w:rFonts w:ascii="Times New Roman" w:hAnsi="Times New Roman"/>
          <w:sz w:val="24"/>
          <w:szCs w:val="24"/>
        </w:rPr>
        <w:t xml:space="preserve"> nebuvo registruota (4 pav.).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383D" w:rsidRDefault="00D7383D" w:rsidP="00D73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A54" w:rsidRDefault="003B6A54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C" w:rsidRPr="007A6613" w:rsidRDefault="00D84A3C" w:rsidP="00D84A3C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A6613">
        <w:rPr>
          <w:rFonts w:ascii="Times New Roman" w:eastAsia="Times New Roman" w:hAnsi="Times New Roman"/>
          <w:b/>
          <w:sz w:val="24"/>
          <w:szCs w:val="24"/>
          <w:lang w:eastAsia="lt-LT"/>
        </w:rPr>
        <w:t>APIBENDRINIMAS</w:t>
      </w:r>
    </w:p>
    <w:p w:rsidR="00D84A3C" w:rsidRPr="007A6613" w:rsidRDefault="00D84A3C" w:rsidP="00D84A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A3C" w:rsidRPr="007A6613" w:rsidRDefault="00D84A3C" w:rsidP="00D84A3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Apibendrinant atliktą 2016</w:t>
      </w:r>
      <w:r w:rsidRPr="007A6613">
        <w:rPr>
          <w:rFonts w:ascii="Times New Roman" w:hAnsi="Times New Roman"/>
          <w:sz w:val="24"/>
          <w:szCs w:val="24"/>
        </w:rPr>
        <w:t xml:space="preserve"> m. I</w:t>
      </w:r>
      <w:r w:rsidR="008311FD">
        <w:rPr>
          <w:rFonts w:ascii="Times New Roman" w:hAnsi="Times New Roman"/>
          <w:sz w:val="24"/>
          <w:szCs w:val="24"/>
        </w:rPr>
        <w:t>I</w:t>
      </w:r>
      <w:r w:rsidRPr="007A6613">
        <w:rPr>
          <w:rFonts w:ascii="Times New Roman" w:hAnsi="Times New Roman"/>
          <w:sz w:val="24"/>
          <w:szCs w:val="24"/>
        </w:rPr>
        <w:t xml:space="preserve"> ketvirčio Mažeikių rajono savivaldybės ikimokyklinio ugdymo įstaigų vaikų sergamumo analizę, nustatyta, kad:</w:t>
      </w:r>
    </w:p>
    <w:p w:rsidR="00D84A3C" w:rsidRPr="004447DF" w:rsidRDefault="00D660C7" w:rsidP="00D84A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iš viso užregistruotas</w:t>
      </w:r>
      <w:r w:rsidR="00D84A3C"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20170C">
        <w:rPr>
          <w:rFonts w:ascii="Times New Roman" w:eastAsia="Times New Roman" w:hAnsi="Times New Roman"/>
          <w:bCs/>
          <w:sz w:val="24"/>
          <w:szCs w:val="24"/>
          <w:lang w:eastAsia="lt-LT"/>
        </w:rPr>
        <w:t>2 251 susirgimo atvejis</w:t>
      </w:r>
      <w:r w:rsidR="00D84A3C"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t.y. </w:t>
      </w:r>
      <w:r w:rsidR="0020170C">
        <w:rPr>
          <w:rFonts w:ascii="Times New Roman" w:eastAsia="Times New Roman" w:hAnsi="Times New Roman"/>
          <w:bCs/>
          <w:sz w:val="24"/>
          <w:szCs w:val="24"/>
          <w:lang w:eastAsia="lt-LT"/>
        </w:rPr>
        <w:t>15 406</w:t>
      </w:r>
      <w:r w:rsidR="00D84A3C"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dėl ligos praleistos dienos. Vidutiniška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i per vieną mėnesį užregistruoti</w:t>
      </w:r>
      <w:r w:rsidR="00D84A3C"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20170C">
        <w:rPr>
          <w:rFonts w:ascii="Times New Roman" w:eastAsia="Times New Roman" w:hAnsi="Times New Roman"/>
          <w:bCs/>
          <w:sz w:val="24"/>
          <w:szCs w:val="24"/>
          <w:lang w:eastAsia="lt-LT"/>
        </w:rPr>
        <w:t>1 125</w:t>
      </w:r>
      <w:r w:rsidR="00D84A3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su</w:t>
      </w:r>
      <w:r w:rsidR="0020170C">
        <w:rPr>
          <w:rFonts w:ascii="Times New Roman" w:eastAsia="Times New Roman" w:hAnsi="Times New Roman"/>
          <w:bCs/>
          <w:sz w:val="24"/>
          <w:szCs w:val="24"/>
          <w:lang w:eastAsia="lt-LT"/>
        </w:rPr>
        <w:t>sirgimo atvejai</w:t>
      </w:r>
      <w:r w:rsidR="00D84A3C"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t.y. </w:t>
      </w:r>
      <w:r w:rsidR="0020170C">
        <w:rPr>
          <w:rFonts w:ascii="Times New Roman" w:eastAsia="Times New Roman" w:hAnsi="Times New Roman"/>
          <w:bCs/>
          <w:sz w:val="24"/>
          <w:szCs w:val="24"/>
          <w:lang w:eastAsia="lt-LT"/>
        </w:rPr>
        <w:t>7 703 dėl ligos praleistos dienos</w:t>
      </w:r>
      <w:r w:rsidR="00D84A3C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  <w:r w:rsidR="00D84A3C"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D84A3C">
        <w:rPr>
          <w:rFonts w:ascii="Times New Roman" w:hAnsi="Times New Roman"/>
          <w:sz w:val="24"/>
          <w:szCs w:val="24"/>
        </w:rPr>
        <w:t>V</w:t>
      </w:r>
      <w:r w:rsidR="00D84A3C" w:rsidRPr="004447DF">
        <w:rPr>
          <w:rFonts w:ascii="Times New Roman" w:hAnsi="Times New Roman"/>
          <w:sz w:val="24"/>
          <w:szCs w:val="24"/>
        </w:rPr>
        <w:t>idutinė</w:t>
      </w:r>
      <w:r w:rsidR="0020170C">
        <w:rPr>
          <w:rFonts w:ascii="Times New Roman" w:hAnsi="Times New Roman"/>
          <w:sz w:val="24"/>
          <w:szCs w:val="24"/>
        </w:rPr>
        <w:t xml:space="preserve"> praleistų dienų trukmė sudarė apie 7</w:t>
      </w:r>
      <w:r w:rsidR="00D84A3C" w:rsidRPr="004447DF">
        <w:rPr>
          <w:rFonts w:ascii="Times New Roman" w:hAnsi="Times New Roman"/>
          <w:sz w:val="24"/>
          <w:szCs w:val="24"/>
        </w:rPr>
        <w:t xml:space="preserve"> dienas;</w:t>
      </w:r>
    </w:p>
    <w:p w:rsidR="00D84A3C" w:rsidRPr="001C17E3" w:rsidRDefault="00D84A3C" w:rsidP="00D84A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išsiskiria pagrindinės 2 vaikų sergamumo priežastys: kvėpavimo sistemos ir virškinimo sistemos ligos;</w:t>
      </w:r>
    </w:p>
    <w:p w:rsidR="00D84A3C" w:rsidRDefault="00F72048" w:rsidP="00D84A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užregistruoti 5 skarlatinos atvejai</w:t>
      </w:r>
      <w:r w:rsidR="00D660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79 susirgimai vėjaraupiais;</w:t>
      </w:r>
    </w:p>
    <w:p w:rsidR="00F72048" w:rsidRDefault="00F72048" w:rsidP="00D84A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gripo atvejų registruota nebuvo.</w:t>
      </w:r>
    </w:p>
    <w:p w:rsidR="00D85F54" w:rsidRDefault="00D85F54"/>
    <w:sectPr w:rsidR="00D85F54" w:rsidSect="0003732C">
      <w:footerReference w:type="default" r:id="rId12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19" w:rsidRDefault="006B1719" w:rsidP="0003732C">
      <w:pPr>
        <w:spacing w:after="0" w:line="240" w:lineRule="auto"/>
      </w:pPr>
      <w:r>
        <w:separator/>
      </w:r>
    </w:p>
  </w:endnote>
  <w:endnote w:type="continuationSeparator" w:id="0">
    <w:p w:rsidR="006B1719" w:rsidRDefault="006B1719" w:rsidP="0003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0111"/>
      <w:docPartObj>
        <w:docPartGallery w:val="Page Numbers (Bottom of Page)"/>
        <w:docPartUnique/>
      </w:docPartObj>
    </w:sdtPr>
    <w:sdtEndPr/>
    <w:sdtContent>
      <w:p w:rsidR="0003732C" w:rsidRDefault="0003732C">
        <w:pPr>
          <w:pStyle w:val="Porat"/>
          <w:jc w:val="right"/>
        </w:pPr>
        <w:r w:rsidRPr="0003732C">
          <w:rPr>
            <w:rFonts w:ascii="Times New Roman" w:hAnsi="Times New Roman"/>
            <w:sz w:val="20"/>
            <w:szCs w:val="20"/>
          </w:rPr>
          <w:fldChar w:fldCharType="begin"/>
        </w:r>
        <w:r w:rsidRPr="0003732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3732C">
          <w:rPr>
            <w:rFonts w:ascii="Times New Roman" w:hAnsi="Times New Roman"/>
            <w:sz w:val="20"/>
            <w:szCs w:val="20"/>
          </w:rPr>
          <w:fldChar w:fldCharType="separate"/>
        </w:r>
        <w:r w:rsidR="00AC46B6">
          <w:rPr>
            <w:rFonts w:ascii="Times New Roman" w:hAnsi="Times New Roman"/>
            <w:noProof/>
            <w:sz w:val="20"/>
            <w:szCs w:val="20"/>
          </w:rPr>
          <w:t>2</w:t>
        </w:r>
        <w:r w:rsidRPr="0003732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3732C" w:rsidRDefault="0003732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19" w:rsidRDefault="006B1719" w:rsidP="0003732C">
      <w:pPr>
        <w:spacing w:after="0" w:line="240" w:lineRule="auto"/>
      </w:pPr>
      <w:r>
        <w:separator/>
      </w:r>
    </w:p>
  </w:footnote>
  <w:footnote w:type="continuationSeparator" w:id="0">
    <w:p w:rsidR="006B1719" w:rsidRDefault="006B1719" w:rsidP="0003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833C2"/>
    <w:multiLevelType w:val="hybridMultilevel"/>
    <w:tmpl w:val="46906300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54"/>
    <w:rsid w:val="0003732C"/>
    <w:rsid w:val="000B5EC3"/>
    <w:rsid w:val="00102A97"/>
    <w:rsid w:val="001B56BD"/>
    <w:rsid w:val="0020170C"/>
    <w:rsid w:val="00390C81"/>
    <w:rsid w:val="003B6A54"/>
    <w:rsid w:val="004874EF"/>
    <w:rsid w:val="004A003F"/>
    <w:rsid w:val="004B3E3A"/>
    <w:rsid w:val="004F2EE2"/>
    <w:rsid w:val="005B2770"/>
    <w:rsid w:val="006750BA"/>
    <w:rsid w:val="00693448"/>
    <w:rsid w:val="006B1719"/>
    <w:rsid w:val="007A7A85"/>
    <w:rsid w:val="007D3F5D"/>
    <w:rsid w:val="008311FD"/>
    <w:rsid w:val="00857EF3"/>
    <w:rsid w:val="008B44BF"/>
    <w:rsid w:val="00915D64"/>
    <w:rsid w:val="009B6E13"/>
    <w:rsid w:val="009F28E3"/>
    <w:rsid w:val="00A03F4C"/>
    <w:rsid w:val="00A041C7"/>
    <w:rsid w:val="00A62A02"/>
    <w:rsid w:val="00AC46B6"/>
    <w:rsid w:val="00BF18B0"/>
    <w:rsid w:val="00CB3847"/>
    <w:rsid w:val="00D65FCF"/>
    <w:rsid w:val="00D660C7"/>
    <w:rsid w:val="00D7383D"/>
    <w:rsid w:val="00D84A3C"/>
    <w:rsid w:val="00D85F54"/>
    <w:rsid w:val="00DA3753"/>
    <w:rsid w:val="00ED08AB"/>
    <w:rsid w:val="00F72048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1E3A-869A-4350-A7A6-94BDED1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5F5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5F54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03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32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03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zeikiuvsb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4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grafikai!$G$93:$G$107</c:f>
              <c:strCache>
                <c:ptCount val="15"/>
                <c:pt idx="0">
                  <c:v>D. „Namučiai po smilga“</c:v>
                </c:pt>
                <c:pt idx="1">
                  <c:v>L./d. „Saulutė“</c:v>
                </c:pt>
                <c:pt idx="2">
                  <c:v>L./d. „Berželis“</c:v>
                </c:pt>
                <c:pt idx="3">
                  <c:v>Sedos m. l./d.</c:v>
                </c:pt>
                <c:pt idx="4">
                  <c:v>Viekšnių m. l./d. „Liepaitė“</c:v>
                </c:pt>
                <c:pt idx="5">
                  <c:v>L./d. „Linelis“</c:v>
                </c:pt>
                <c:pt idx="6">
                  <c:v>L./d. „Pasaka“</c:v>
                </c:pt>
                <c:pt idx="7">
                  <c:v>L./d. „Buratinas“</c:v>
                </c:pt>
                <c:pt idx="8">
                  <c:v>Tirkšlių km. d. „Giliukas“</c:v>
                </c:pt>
                <c:pt idx="9">
                  <c:v>L./d. „Eglutė“</c:v>
                </c:pt>
                <c:pt idx="10">
                  <c:v>L./d. „Žilvitis“</c:v>
                </c:pt>
                <c:pt idx="11">
                  <c:v>L./d. „Bitutė“</c:v>
                </c:pt>
                <c:pt idx="12">
                  <c:v>L./d. „Delfinas“</c:v>
                </c:pt>
                <c:pt idx="13">
                  <c:v>L./d. „Gintarėlis“</c:v>
                </c:pt>
                <c:pt idx="14">
                  <c:v>„Kregždutė“ darželis - mokykla</c:v>
                </c:pt>
              </c:strCache>
            </c:strRef>
          </c:cat>
          <c:val>
            <c:numRef>
              <c:f>grafikai!$H$93:$H$107</c:f>
              <c:numCache>
                <c:formatCode>0</c:formatCode>
                <c:ptCount val="15"/>
                <c:pt idx="0" formatCode="0.0">
                  <c:v>0.4</c:v>
                </c:pt>
                <c:pt idx="1">
                  <c:v>3.1428571428571428</c:v>
                </c:pt>
                <c:pt idx="2">
                  <c:v>3.4328358208955225</c:v>
                </c:pt>
                <c:pt idx="3">
                  <c:v>3.6170212765957448</c:v>
                </c:pt>
                <c:pt idx="4">
                  <c:v>3.6507936507936507</c:v>
                </c:pt>
                <c:pt idx="5">
                  <c:v>4.0123456790123457</c:v>
                </c:pt>
                <c:pt idx="6">
                  <c:v>4.3612334801762112</c:v>
                </c:pt>
                <c:pt idx="7">
                  <c:v>4.507042253521127</c:v>
                </c:pt>
                <c:pt idx="8">
                  <c:v>5</c:v>
                </c:pt>
                <c:pt idx="9">
                  <c:v>6.1643835616438354</c:v>
                </c:pt>
                <c:pt idx="10">
                  <c:v>6.3025210084033612</c:v>
                </c:pt>
                <c:pt idx="11">
                  <c:v>6.6440677966101696</c:v>
                </c:pt>
                <c:pt idx="12">
                  <c:v>6.7132867132867133</c:v>
                </c:pt>
                <c:pt idx="13">
                  <c:v>6.9607843137254903</c:v>
                </c:pt>
                <c:pt idx="14">
                  <c:v>7.5555555555555554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9564080"/>
        <c:axId val="405197032"/>
        <c:axId val="0"/>
      </c:bar3DChart>
      <c:catAx>
        <c:axId val="34956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405197032"/>
        <c:crosses val="autoZero"/>
        <c:auto val="1"/>
        <c:lblAlgn val="ctr"/>
        <c:lblOffset val="100"/>
        <c:noMultiLvlLbl val="0"/>
      </c:catAx>
      <c:valAx>
        <c:axId val="405197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4956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grafikai!$D$76:$D$87</c:f>
              <c:strCache>
                <c:ptCount val="12"/>
                <c:pt idx="0">
                  <c:v>Kvėpavimo sitemos ligos</c:v>
                </c:pt>
                <c:pt idx="1">
                  <c:v>Virškinimo sistemos ligos</c:v>
                </c:pt>
                <c:pt idx="2">
                  <c:v>Odos ir poodžio ligos</c:v>
                </c:pt>
                <c:pt idx="3">
                  <c:v>Urogenitalinės sistemos ligos</c:v>
                </c:pt>
                <c:pt idx="4">
                  <c:v>Akių ligos</c:v>
                </c:pt>
                <c:pt idx="5">
                  <c:v>Ausų ligos</c:v>
                </c:pt>
                <c:pt idx="6">
                  <c:v>Vėjaraupiai</c:v>
                </c:pt>
                <c:pt idx="7">
                  <c:v>Skarlatina</c:v>
                </c:pt>
                <c:pt idx="8">
                  <c:v>Žarnyno infekcijos</c:v>
                </c:pt>
                <c:pt idx="9">
                  <c:v>Gripas</c:v>
                </c:pt>
                <c:pt idx="10">
                  <c:v>Nervų sistemos</c:v>
                </c:pt>
                <c:pt idx="11">
                  <c:v>Kitos ligos</c:v>
                </c:pt>
              </c:strCache>
            </c:strRef>
          </c:cat>
          <c:val>
            <c:numRef>
              <c:f>grafikai!$E$76:$E$87</c:f>
              <c:numCache>
                <c:formatCode>0.0</c:formatCode>
                <c:ptCount val="12"/>
                <c:pt idx="0">
                  <c:v>87.521079258010118</c:v>
                </c:pt>
                <c:pt idx="1">
                  <c:v>2.5295109612141653</c:v>
                </c:pt>
                <c:pt idx="2">
                  <c:v>0.75885328836424959</c:v>
                </c:pt>
                <c:pt idx="3">
                  <c:v>0.33726812816188873</c:v>
                </c:pt>
                <c:pt idx="4" formatCode="0">
                  <c:v>0.84317032040472173</c:v>
                </c:pt>
                <c:pt idx="5" formatCode="0">
                  <c:v>2.0236087689713322</c:v>
                </c:pt>
                <c:pt idx="6" formatCode="0">
                  <c:v>2.0236087689713322</c:v>
                </c:pt>
                <c:pt idx="7">
                  <c:v>0.16863406408094436</c:v>
                </c:pt>
                <c:pt idx="8">
                  <c:v>1.6020236087689714</c:v>
                </c:pt>
                <c:pt idx="9" formatCode="0">
                  <c:v>0</c:v>
                </c:pt>
                <c:pt idx="10">
                  <c:v>0.25295109612141653</c:v>
                </c:pt>
                <c:pt idx="11">
                  <c:v>1.93929173693086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197424"/>
        <c:axId val="405200168"/>
        <c:axId val="0"/>
      </c:bar3DChart>
      <c:catAx>
        <c:axId val="405197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405200168"/>
        <c:crosses val="autoZero"/>
        <c:auto val="1"/>
        <c:lblAlgn val="ctr"/>
        <c:lblOffset val="100"/>
        <c:noMultiLvlLbl val="0"/>
      </c:catAx>
      <c:valAx>
        <c:axId val="405200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40519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4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grafikai!$J$93:$J$107</c:f>
              <c:strCache>
                <c:ptCount val="15"/>
                <c:pt idx="0">
                  <c:v>D. „Namučiai po smilga“</c:v>
                </c:pt>
                <c:pt idx="1">
                  <c:v>Viekšnių m. l./d. „Liepaitė“</c:v>
                </c:pt>
                <c:pt idx="2">
                  <c:v>Sedos m. l./d.</c:v>
                </c:pt>
                <c:pt idx="3">
                  <c:v>L./d. „Linelis“</c:v>
                </c:pt>
                <c:pt idx="4">
                  <c:v>L./d. „Pasaka“</c:v>
                </c:pt>
                <c:pt idx="5">
                  <c:v>L./d. „Bitutė“</c:v>
                </c:pt>
                <c:pt idx="6">
                  <c:v>L./d. „Eglutė“</c:v>
                </c:pt>
                <c:pt idx="7">
                  <c:v>L./d. „Buratinas“</c:v>
                </c:pt>
                <c:pt idx="8">
                  <c:v>Tirkšlių km. d. „Giliukas“</c:v>
                </c:pt>
                <c:pt idx="9">
                  <c:v>L./d. „Berželis“</c:v>
                </c:pt>
                <c:pt idx="10">
                  <c:v>L./d. „Saulutė“</c:v>
                </c:pt>
                <c:pt idx="11">
                  <c:v>L./d. „Žilvitis“</c:v>
                </c:pt>
                <c:pt idx="12">
                  <c:v>L./d. „Delfinas“</c:v>
                </c:pt>
                <c:pt idx="13">
                  <c:v>„Kregždutė“ darželis - mokykla</c:v>
                </c:pt>
                <c:pt idx="14">
                  <c:v>L./d. „Gintarėlis“</c:v>
                </c:pt>
              </c:strCache>
            </c:strRef>
          </c:cat>
          <c:val>
            <c:numRef>
              <c:f>grafikai!$K$93:$K$107</c:f>
              <c:numCache>
                <c:formatCode>0</c:formatCode>
                <c:ptCount val="15"/>
                <c:pt idx="0" formatCode="0.0">
                  <c:v>0.4</c:v>
                </c:pt>
                <c:pt idx="1">
                  <c:v>2.486772486772487</c:v>
                </c:pt>
                <c:pt idx="2">
                  <c:v>3.7234042553191489</c:v>
                </c:pt>
                <c:pt idx="3">
                  <c:v>3.7654320987654319</c:v>
                </c:pt>
                <c:pt idx="4">
                  <c:v>3.9207048458149778</c:v>
                </c:pt>
                <c:pt idx="5">
                  <c:v>4.2372881355932206</c:v>
                </c:pt>
                <c:pt idx="6">
                  <c:v>4.5205479452054798</c:v>
                </c:pt>
                <c:pt idx="7">
                  <c:v>4.5539906103286381</c:v>
                </c:pt>
                <c:pt idx="8">
                  <c:v>4.8360655737704921</c:v>
                </c:pt>
                <c:pt idx="9">
                  <c:v>4.8507462686567164</c:v>
                </c:pt>
                <c:pt idx="10">
                  <c:v>4.9523809523809526</c:v>
                </c:pt>
                <c:pt idx="11">
                  <c:v>5.1680672268907566</c:v>
                </c:pt>
                <c:pt idx="12">
                  <c:v>5.5944055944055942</c:v>
                </c:pt>
                <c:pt idx="13">
                  <c:v>6</c:v>
                </c:pt>
                <c:pt idx="14">
                  <c:v>10.294117647058824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198600"/>
        <c:axId val="405200560"/>
        <c:axId val="0"/>
      </c:bar3DChart>
      <c:catAx>
        <c:axId val="405198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405200560"/>
        <c:crosses val="autoZero"/>
        <c:auto val="1"/>
        <c:lblAlgn val="ctr"/>
        <c:lblOffset val="100"/>
        <c:noMultiLvlLbl val="0"/>
      </c:catAx>
      <c:valAx>
        <c:axId val="40520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40519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grafikai!$D$76:$D$87</c:f>
              <c:strCache>
                <c:ptCount val="12"/>
                <c:pt idx="0">
                  <c:v>Kvėpavimo sitemos ligos</c:v>
                </c:pt>
                <c:pt idx="1">
                  <c:v>Virškinimo sistemos ligos</c:v>
                </c:pt>
                <c:pt idx="2">
                  <c:v>Odos ir poodžio ligos</c:v>
                </c:pt>
                <c:pt idx="3">
                  <c:v>Urogenitalinės sistemos ligos</c:v>
                </c:pt>
                <c:pt idx="4">
                  <c:v>Akių ligos</c:v>
                </c:pt>
                <c:pt idx="5">
                  <c:v>Ausų ligos</c:v>
                </c:pt>
                <c:pt idx="6">
                  <c:v>Vėjaraupiai</c:v>
                </c:pt>
                <c:pt idx="7">
                  <c:v>Skarlatina</c:v>
                </c:pt>
                <c:pt idx="8">
                  <c:v>Žarnyno infekcijos</c:v>
                </c:pt>
                <c:pt idx="9">
                  <c:v>Gripas</c:v>
                </c:pt>
                <c:pt idx="10">
                  <c:v>Nervų sistemos</c:v>
                </c:pt>
                <c:pt idx="11">
                  <c:v>Kitos ligos</c:v>
                </c:pt>
              </c:strCache>
            </c:strRef>
          </c:cat>
          <c:val>
            <c:numRef>
              <c:f>grafikai!$E$76:$E$87</c:f>
              <c:numCache>
                <c:formatCode>0.0</c:formatCode>
                <c:ptCount val="12"/>
                <c:pt idx="0">
                  <c:v>81.596244131455393</c:v>
                </c:pt>
                <c:pt idx="1">
                  <c:v>3.4741784037558685</c:v>
                </c:pt>
                <c:pt idx="2">
                  <c:v>1.1267605633802817</c:v>
                </c:pt>
                <c:pt idx="3">
                  <c:v>0.75117370892018775</c:v>
                </c:pt>
                <c:pt idx="4">
                  <c:v>1.2206572769953052</c:v>
                </c:pt>
                <c:pt idx="5">
                  <c:v>1.2206572769953052</c:v>
                </c:pt>
                <c:pt idx="6">
                  <c:v>5.164319248826291</c:v>
                </c:pt>
                <c:pt idx="7">
                  <c:v>0.28169014084507044</c:v>
                </c:pt>
                <c:pt idx="8">
                  <c:v>2.0657276995305165</c:v>
                </c:pt>
                <c:pt idx="9" formatCode="0">
                  <c:v>0</c:v>
                </c:pt>
                <c:pt idx="10">
                  <c:v>0.37558685446009388</c:v>
                </c:pt>
                <c:pt idx="11">
                  <c:v>2.723004694835681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199384"/>
        <c:axId val="405197816"/>
        <c:axId val="0"/>
      </c:bar3DChart>
      <c:catAx>
        <c:axId val="405199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405197816"/>
        <c:crosses val="autoZero"/>
        <c:auto val="1"/>
        <c:lblAlgn val="ctr"/>
        <c:lblOffset val="100"/>
        <c:noMultiLvlLbl val="0"/>
      </c:catAx>
      <c:valAx>
        <c:axId val="405197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405199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4973</Words>
  <Characters>2836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3</cp:revision>
  <dcterms:created xsi:type="dcterms:W3CDTF">2016-09-08T10:18:00Z</dcterms:created>
  <dcterms:modified xsi:type="dcterms:W3CDTF">2016-09-08T10:18:00Z</dcterms:modified>
</cp:coreProperties>
</file>