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84A" w:rsidRDefault="00AB784A" w:rsidP="00AB784A">
      <w:pPr>
        <w:pStyle w:val="Antrat1"/>
        <w:spacing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MAŽEIKIŲ RAJONO SAVIVALDYBĖS MAUDYMOSI VIETŲ VANDEN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S KOKYBĖS TYRIMŲ REZULTATAI 2020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M.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RUGSĖJO 3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D.</w:t>
      </w:r>
    </w:p>
    <w:p w:rsidR="00AB784A" w:rsidRDefault="00AB784A" w:rsidP="00AB784A">
      <w:pPr>
        <w:spacing w:line="276" w:lineRule="auto"/>
      </w:pPr>
    </w:p>
    <w:p w:rsidR="00AB784A" w:rsidRPr="00272C6D" w:rsidRDefault="00272C6D" w:rsidP="00272C6D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C6D">
        <w:rPr>
          <w:rFonts w:ascii="Times New Roman" w:hAnsi="Times New Roman" w:cs="Times New Roman"/>
          <w:sz w:val="24"/>
          <w:szCs w:val="24"/>
        </w:rPr>
        <w:t xml:space="preserve">Rugpjūčio 25 d. Mažeikių rajono Ventos upėje Viekšnių seniūnijoje ties Birutės gatvė 14 ir </w:t>
      </w:r>
      <w:proofErr w:type="spellStart"/>
      <w:r w:rsidRPr="00272C6D">
        <w:rPr>
          <w:rFonts w:ascii="Times New Roman" w:hAnsi="Times New Roman" w:cs="Times New Roman"/>
          <w:sz w:val="24"/>
          <w:szCs w:val="24"/>
        </w:rPr>
        <w:t>Renavo</w:t>
      </w:r>
      <w:proofErr w:type="spellEnd"/>
      <w:r w:rsidRPr="00272C6D">
        <w:rPr>
          <w:rFonts w:ascii="Times New Roman" w:hAnsi="Times New Roman" w:cs="Times New Roman"/>
          <w:sz w:val="24"/>
          <w:szCs w:val="24"/>
        </w:rPr>
        <w:t xml:space="preserve"> tvenkinyje buvo nustatytas normas viršijantis žarninių </w:t>
      </w:r>
      <w:proofErr w:type="spellStart"/>
      <w:r w:rsidRPr="00272C6D">
        <w:rPr>
          <w:rFonts w:ascii="Times New Roman" w:hAnsi="Times New Roman" w:cs="Times New Roman"/>
          <w:sz w:val="24"/>
          <w:szCs w:val="24"/>
        </w:rPr>
        <w:t>enterokokų</w:t>
      </w:r>
      <w:proofErr w:type="spellEnd"/>
      <w:r w:rsidRPr="00272C6D">
        <w:rPr>
          <w:rFonts w:ascii="Times New Roman" w:hAnsi="Times New Roman" w:cs="Times New Roman"/>
          <w:sz w:val="24"/>
          <w:szCs w:val="24"/>
        </w:rPr>
        <w:t xml:space="preserve"> ir žarninių lazdelių (</w:t>
      </w:r>
      <w:proofErr w:type="spellStart"/>
      <w:r w:rsidRPr="00272C6D">
        <w:rPr>
          <w:rFonts w:ascii="Times New Roman" w:hAnsi="Times New Roman" w:cs="Times New Roman"/>
          <w:sz w:val="24"/>
          <w:szCs w:val="24"/>
        </w:rPr>
        <w:t>Escherichia</w:t>
      </w:r>
      <w:proofErr w:type="spellEnd"/>
      <w:r w:rsidRPr="00272C6D">
        <w:rPr>
          <w:rFonts w:ascii="Times New Roman" w:hAnsi="Times New Roman" w:cs="Times New Roman"/>
          <w:sz w:val="24"/>
          <w:szCs w:val="24"/>
        </w:rPr>
        <w:t xml:space="preserve"> coli) kiekis. Nustačius trumpalaikę taršą rugpjūčio 31 d. pakartotinai buvo paimti vandens mėginiai šiose 2-jose vietose. Ventos upėje Viekšnių seniūnijoje ties Birutės gatvė 14 mikrobiologiniai vandens kokybės tyrimai neatitiko Lietuvos higienos normos reikalavimus. Rugsėjo 3 d. pakartotinai buvo paimti vandens mėginiai šioje vietoje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B784A">
        <w:rPr>
          <w:rFonts w:ascii="Times New Roman" w:hAnsi="Times New Roman" w:cs="Times New Roman"/>
          <w:sz w:val="24"/>
          <w:szCs w:val="24"/>
        </w:rPr>
        <w:t xml:space="preserve">Mikrobiologiniai vandens kokybės tyrimai atitiko Lietuvos higienos normos reikalavimus. </w:t>
      </w:r>
    </w:p>
    <w:p w:rsidR="00AB784A" w:rsidRDefault="00272C6D" w:rsidP="00272C6D">
      <w:pPr>
        <w:pStyle w:val="Betarp"/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pav. Vandens mikrobiologiniai parametrai Ventos upėje Viekšnių seniūnijoje ties B</w:t>
      </w:r>
      <w:r w:rsidRPr="00272C6D">
        <w:rPr>
          <w:rFonts w:ascii="Times New Roman" w:hAnsi="Times New Roman" w:cs="Times New Roman"/>
          <w:b/>
          <w:sz w:val="24"/>
          <w:szCs w:val="24"/>
        </w:rPr>
        <w:t>irutės gatvė 14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272C6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2020 m. rugsėjo 3 d</w:t>
      </w:r>
      <w:r w:rsidR="00AB784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B784A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AB784A">
        <w:rPr>
          <w:rFonts w:ascii="Times New Roman" w:hAnsi="Times New Roman" w:cs="Times New Roman"/>
          <w:b/>
          <w:sz w:val="24"/>
          <w:szCs w:val="24"/>
        </w:rPr>
        <w:instrText xml:space="preserve"> LINK Excel.Sheet.12 "D:\\TRIUKŠMO IR VANDENS TYRIMAI\\Mikrobiologiniai ir parazitologiniai tyrimai (vanduo).xlsx" bendras!R2C1:R21C6 \a \f 4 \h  \* MERGEFORMAT </w:instrText>
      </w:r>
      <w:r w:rsidR="00AB784A">
        <w:rPr>
          <w:rFonts w:ascii="Times New Roman" w:hAnsi="Times New Roman" w:cs="Times New Roman"/>
          <w:b/>
          <w:sz w:val="24"/>
          <w:szCs w:val="24"/>
        </w:rPr>
        <w:fldChar w:fldCharType="separate"/>
      </w:r>
    </w:p>
    <w:tbl>
      <w:tblPr>
        <w:tblpPr w:leftFromText="180" w:rightFromText="180" w:bottomFromText="160" w:vertAnchor="text" w:tblpXSpec="center" w:tblpY="1"/>
        <w:tblOverlap w:val="never"/>
        <w:tblW w:w="9574" w:type="dxa"/>
        <w:tblLayout w:type="fixed"/>
        <w:tblLook w:val="04A0" w:firstRow="1" w:lastRow="0" w:firstColumn="1" w:lastColumn="0" w:noHBand="0" w:noVBand="1"/>
      </w:tblPr>
      <w:tblGrid>
        <w:gridCol w:w="704"/>
        <w:gridCol w:w="4253"/>
        <w:gridCol w:w="1523"/>
        <w:gridCol w:w="1687"/>
        <w:gridCol w:w="1407"/>
      </w:tblGrid>
      <w:tr w:rsidR="00AB784A" w:rsidTr="00272C6D">
        <w:trPr>
          <w:trHeight w:val="5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AB784A" w:rsidRDefault="00AB784A" w:rsidP="00272C6D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Eil. Nr.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AB784A" w:rsidRDefault="00AB784A" w:rsidP="00272C6D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Maudymosi vietos</w:t>
            </w:r>
          </w:p>
        </w:tc>
        <w:tc>
          <w:tcPr>
            <w:tcW w:w="4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AB784A" w:rsidRDefault="00AB784A" w:rsidP="00272C6D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Mikrobiologiniai parametrai</w:t>
            </w:r>
          </w:p>
        </w:tc>
      </w:tr>
      <w:tr w:rsidR="00AB784A" w:rsidTr="00272C6D">
        <w:trPr>
          <w:trHeight w:val="5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84A" w:rsidRDefault="00AB784A" w:rsidP="00272C6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84A" w:rsidRDefault="00AB784A" w:rsidP="00272C6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AB784A" w:rsidRDefault="00AB784A" w:rsidP="00272C6D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Žarninių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enterokokų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skaičius KSV/100 ml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AB784A" w:rsidRDefault="00AB784A" w:rsidP="00272C6D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Žarninių lazdelių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Escherichia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coli) 100 ml skaičius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AB784A" w:rsidRDefault="00AB784A" w:rsidP="00272C6D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Vandens temperatūra, °C</w:t>
            </w:r>
          </w:p>
        </w:tc>
      </w:tr>
      <w:tr w:rsidR="00AB784A" w:rsidTr="00272C6D">
        <w:trPr>
          <w:trHeight w:val="5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84A" w:rsidRDefault="00AB784A" w:rsidP="00272C6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84A" w:rsidRDefault="00AB784A" w:rsidP="00272C6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4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AB784A" w:rsidRDefault="00272C6D" w:rsidP="00272C6D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Rugsėjo 3 d. </w:t>
            </w:r>
          </w:p>
        </w:tc>
      </w:tr>
      <w:tr w:rsidR="00AB784A" w:rsidTr="00272C6D">
        <w:trPr>
          <w:trHeight w:val="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784A" w:rsidRDefault="00272C6D" w:rsidP="00272C6D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  <w:r w:rsidR="00AB7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4A" w:rsidRDefault="00272C6D" w:rsidP="00272C6D">
            <w:pPr>
              <w:pStyle w:val="Betarp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Ventos upė Viekšnių sen. ties Birutės g.</w:t>
            </w:r>
            <w:r w:rsidRPr="00272C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14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784A" w:rsidRDefault="00272C6D" w:rsidP="00272C6D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784A" w:rsidRDefault="00272C6D" w:rsidP="00272C6D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72,3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784A" w:rsidRDefault="00AB784A" w:rsidP="00272C6D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+</w:t>
            </w:r>
            <w:r w:rsidR="00272C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16</w:t>
            </w:r>
          </w:p>
        </w:tc>
      </w:tr>
    </w:tbl>
    <w:p w:rsidR="00272C6D" w:rsidRDefault="00AB784A" w:rsidP="00272C6D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bookmarkStart w:id="0" w:name="_GoBack"/>
      <w:bookmarkEnd w:id="0"/>
    </w:p>
    <w:p w:rsidR="00AB784A" w:rsidRPr="00272C6D" w:rsidRDefault="00AB784A" w:rsidP="00272C6D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C6D">
        <w:rPr>
          <w:rFonts w:ascii="Times New Roman" w:eastAsia="Times New Roman" w:hAnsi="Times New Roman" w:cs="Times New Roman"/>
          <w:b/>
          <w:sz w:val="24"/>
          <w:szCs w:val="24"/>
        </w:rPr>
        <w:t xml:space="preserve">Atsižvelgiant į Lietuvos Respublikos higienos normos reikalavimus, </w:t>
      </w:r>
      <w:r w:rsidRPr="00272C6D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žarninių </w:t>
      </w:r>
      <w:proofErr w:type="spellStart"/>
      <w:r w:rsidRPr="00272C6D">
        <w:rPr>
          <w:rFonts w:ascii="Times New Roman" w:eastAsia="Times New Roman" w:hAnsi="Times New Roman" w:cs="Times New Roman"/>
          <w:b/>
          <w:iCs/>
          <w:sz w:val="24"/>
          <w:szCs w:val="24"/>
        </w:rPr>
        <w:t>enterokokų</w:t>
      </w:r>
      <w:proofErr w:type="spellEnd"/>
      <w:r w:rsidRPr="00272C6D">
        <w:rPr>
          <w:rFonts w:ascii="Times New Roman" w:eastAsia="Times New Roman" w:hAnsi="Times New Roman" w:cs="Times New Roman"/>
          <w:b/>
          <w:sz w:val="24"/>
          <w:szCs w:val="24"/>
        </w:rPr>
        <w:t xml:space="preserve"> turi būti ne daugiau kaip 100 kolonijas</w:t>
      </w:r>
      <w:r w:rsidRPr="00272C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2C6D">
        <w:rPr>
          <w:rFonts w:ascii="Times New Roman" w:eastAsia="Times New Roman" w:hAnsi="Times New Roman" w:cs="Times New Roman"/>
          <w:b/>
          <w:sz w:val="24"/>
          <w:szCs w:val="24"/>
        </w:rPr>
        <w:t>sudarančių vienetų (KSV) 100 ml vandens, o žarninių lazdelių ‒ ne daugiau kaip 1000/100 ml vandens.</w:t>
      </w:r>
    </w:p>
    <w:p w:rsidR="00C525B9" w:rsidRDefault="00C525B9"/>
    <w:sectPr w:rsidR="00C525B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84A"/>
    <w:rsid w:val="00272C6D"/>
    <w:rsid w:val="00AB784A"/>
    <w:rsid w:val="00C5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60FB3"/>
  <w15:chartTrackingRefBased/>
  <w15:docId w15:val="{2FB231A1-DB08-4F9E-86E6-F675ED64C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B784A"/>
    <w:pPr>
      <w:spacing w:line="256" w:lineRule="auto"/>
    </w:pPr>
  </w:style>
  <w:style w:type="paragraph" w:styleId="Antrat1">
    <w:name w:val="heading 1"/>
    <w:basedOn w:val="prastasis"/>
    <w:next w:val="prastasis"/>
    <w:link w:val="Antrat1Diagrama"/>
    <w:uiPriority w:val="9"/>
    <w:qFormat/>
    <w:rsid w:val="00AB78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AB78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tarp">
    <w:name w:val="No Spacing"/>
    <w:uiPriority w:val="1"/>
    <w:qFormat/>
    <w:rsid w:val="00AB78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9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950</Words>
  <Characters>543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Darbuotojas</dc:creator>
  <cp:keywords/>
  <dc:description/>
  <cp:lastModifiedBy>Darbuotojas</cp:lastModifiedBy>
  <cp:revision>1</cp:revision>
  <dcterms:created xsi:type="dcterms:W3CDTF">2020-09-07T10:49:00Z</dcterms:created>
  <dcterms:modified xsi:type="dcterms:W3CDTF">2020-09-07T11:13:00Z</dcterms:modified>
</cp:coreProperties>
</file>